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A96" w:rsidRDefault="00BA7A96" w:rsidP="00FE47F6">
      <w:pPr>
        <w:spacing w:after="0"/>
        <w:jc w:val="center"/>
        <w:rPr>
          <w:rFonts w:ascii="Arial" w:hAnsi="Arial" w:cs="Arial"/>
          <w:b/>
          <w:sz w:val="28"/>
          <w:szCs w:val="28"/>
        </w:rPr>
      </w:pPr>
    </w:p>
    <w:p w:rsidR="00A74C57" w:rsidRPr="00FA0DBD" w:rsidRDefault="00AA71F4" w:rsidP="00FE47F6">
      <w:pPr>
        <w:spacing w:after="0"/>
        <w:jc w:val="center"/>
        <w:rPr>
          <w:rFonts w:ascii="Arial" w:hAnsi="Arial" w:cs="Arial"/>
          <w:b/>
          <w:sz w:val="28"/>
          <w:szCs w:val="28"/>
        </w:rPr>
      </w:pPr>
      <w:r w:rsidRPr="00FA0DBD">
        <w:rPr>
          <w:rFonts w:ascii="Arial" w:hAnsi="Arial" w:cs="Arial"/>
          <w:b/>
          <w:sz w:val="28"/>
          <w:szCs w:val="28"/>
        </w:rPr>
        <w:t>Clinical Trial Test Article Hazard Profile/Exposure Response Guide</w:t>
      </w:r>
    </w:p>
    <w:p w:rsidR="00FA0DBD" w:rsidRDefault="00AA71F4" w:rsidP="00FA0DBD">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FA0DBD">
        <w:rPr>
          <w:rFonts w:ascii="Arial" w:hAnsi="Arial" w:cs="Arial"/>
          <w:sz w:val="20"/>
          <w:szCs w:val="20"/>
        </w:rPr>
        <w:t>This document is intended to serve as a reference for personnel who may be handling a test article containing recombinant DNA molecules or a viable biological agent as part of preparation, administration or disposal of such materials. A copy of this document should be provided to all such parties as well as VEHS Biosafety &amp; Occupational Health</w:t>
      </w:r>
      <w:r w:rsidR="00FA0DBD">
        <w:rPr>
          <w:rFonts w:ascii="Arial" w:hAnsi="Arial" w:cs="Arial"/>
          <w:sz w:val="20"/>
          <w:szCs w:val="20"/>
        </w:rPr>
        <w:t xml:space="preserve"> before first doses are prepared.</w:t>
      </w:r>
    </w:p>
    <w:p w:rsidR="00FA0DBD" w:rsidRPr="00FA0DBD" w:rsidRDefault="00FA0DBD" w:rsidP="00AA71F4">
      <w:pPr>
        <w:spacing w:after="0" w:line="240" w:lineRule="auto"/>
        <w:rPr>
          <w:rFonts w:ascii="Arial" w:hAnsi="Arial" w:cs="Arial"/>
          <w:sz w:val="20"/>
          <w:szCs w:val="20"/>
        </w:rPr>
      </w:pPr>
    </w:p>
    <w:tbl>
      <w:tblPr>
        <w:tblStyle w:val="TableGrid"/>
        <w:tblW w:w="10728" w:type="dxa"/>
        <w:tblLook w:val="04A0" w:firstRow="1" w:lastRow="0" w:firstColumn="1" w:lastColumn="0" w:noHBand="0" w:noVBand="1"/>
      </w:tblPr>
      <w:tblGrid>
        <w:gridCol w:w="3438"/>
        <w:gridCol w:w="3420"/>
        <w:gridCol w:w="3870"/>
      </w:tblGrid>
      <w:tr w:rsidR="00FE47F6" w:rsidRPr="00FA0DBD" w:rsidTr="001063F8">
        <w:tc>
          <w:tcPr>
            <w:tcW w:w="3438" w:type="dxa"/>
          </w:tcPr>
          <w:p w:rsidR="00FE47F6" w:rsidRPr="00135E4A" w:rsidRDefault="00FE47F6" w:rsidP="00AA71F4">
            <w:pPr>
              <w:rPr>
                <w:rFonts w:ascii="Arial" w:hAnsi="Arial" w:cs="Arial"/>
                <w:b/>
              </w:rPr>
            </w:pPr>
            <w:r w:rsidRPr="00135E4A">
              <w:rPr>
                <w:rFonts w:ascii="Arial" w:hAnsi="Arial" w:cs="Arial"/>
                <w:b/>
              </w:rPr>
              <w:t>Title</w:t>
            </w:r>
          </w:p>
        </w:tc>
        <w:tc>
          <w:tcPr>
            <w:tcW w:w="3420" w:type="dxa"/>
          </w:tcPr>
          <w:p w:rsidR="00FE47F6" w:rsidRPr="00135E4A" w:rsidRDefault="00FE47F6" w:rsidP="00AA71F4">
            <w:pPr>
              <w:rPr>
                <w:rFonts w:ascii="Arial" w:hAnsi="Arial" w:cs="Arial"/>
                <w:b/>
              </w:rPr>
            </w:pPr>
            <w:r w:rsidRPr="00135E4A">
              <w:rPr>
                <w:rFonts w:ascii="Arial" w:hAnsi="Arial" w:cs="Arial"/>
                <w:b/>
              </w:rPr>
              <w:t>Name</w:t>
            </w:r>
          </w:p>
        </w:tc>
        <w:tc>
          <w:tcPr>
            <w:tcW w:w="3870" w:type="dxa"/>
          </w:tcPr>
          <w:p w:rsidR="00FE47F6" w:rsidRPr="00135E4A" w:rsidRDefault="00FE47F6" w:rsidP="00AA71F4">
            <w:pPr>
              <w:rPr>
                <w:rFonts w:ascii="Arial" w:hAnsi="Arial" w:cs="Arial"/>
                <w:b/>
              </w:rPr>
            </w:pPr>
            <w:r w:rsidRPr="00135E4A">
              <w:rPr>
                <w:rFonts w:ascii="Arial" w:hAnsi="Arial" w:cs="Arial"/>
                <w:b/>
              </w:rPr>
              <w:t>Contact Numbers</w:t>
            </w:r>
          </w:p>
        </w:tc>
      </w:tr>
      <w:tr w:rsidR="00FE47F6" w:rsidRPr="00FA0DBD" w:rsidTr="001063F8">
        <w:tc>
          <w:tcPr>
            <w:tcW w:w="3438" w:type="dxa"/>
          </w:tcPr>
          <w:p w:rsidR="00FE47F6" w:rsidRPr="00FA0DBD" w:rsidRDefault="00427811" w:rsidP="00AA71F4">
            <w:pPr>
              <w:rPr>
                <w:rFonts w:ascii="Arial" w:hAnsi="Arial" w:cs="Arial"/>
              </w:rPr>
            </w:pPr>
            <w:r>
              <w:rPr>
                <w:rFonts w:ascii="Arial" w:hAnsi="Arial" w:cs="Arial"/>
              </w:rPr>
              <w:t>Principal Investigator</w:t>
            </w:r>
          </w:p>
        </w:tc>
        <w:tc>
          <w:tcPr>
            <w:tcW w:w="3420" w:type="dxa"/>
          </w:tcPr>
          <w:p w:rsidR="00FE47F6" w:rsidRPr="00FA0DBD" w:rsidRDefault="00FE47F6" w:rsidP="00AA71F4">
            <w:pPr>
              <w:rPr>
                <w:rFonts w:ascii="Arial" w:hAnsi="Arial" w:cs="Arial"/>
              </w:rPr>
            </w:pPr>
          </w:p>
        </w:tc>
        <w:tc>
          <w:tcPr>
            <w:tcW w:w="3870" w:type="dxa"/>
          </w:tcPr>
          <w:p w:rsidR="00FE47F6" w:rsidRPr="00FA0DBD" w:rsidRDefault="00FE47F6" w:rsidP="00AA71F4">
            <w:pPr>
              <w:rPr>
                <w:rFonts w:ascii="Arial" w:hAnsi="Arial" w:cs="Arial"/>
              </w:rPr>
            </w:pPr>
          </w:p>
        </w:tc>
      </w:tr>
      <w:tr w:rsidR="00FE47F6" w:rsidRPr="00FA0DBD" w:rsidTr="001063F8">
        <w:tc>
          <w:tcPr>
            <w:tcW w:w="3438" w:type="dxa"/>
          </w:tcPr>
          <w:p w:rsidR="00FE47F6" w:rsidRPr="00FA0DBD" w:rsidRDefault="00427811" w:rsidP="00AA71F4">
            <w:pPr>
              <w:rPr>
                <w:rFonts w:ascii="Arial" w:hAnsi="Arial" w:cs="Arial"/>
              </w:rPr>
            </w:pPr>
            <w:r>
              <w:rPr>
                <w:rFonts w:ascii="Arial" w:hAnsi="Arial" w:cs="Arial"/>
              </w:rPr>
              <w:t>Study Nurse</w:t>
            </w:r>
          </w:p>
        </w:tc>
        <w:tc>
          <w:tcPr>
            <w:tcW w:w="3420" w:type="dxa"/>
          </w:tcPr>
          <w:p w:rsidR="00FE47F6" w:rsidRPr="00FA0DBD" w:rsidRDefault="00FE47F6" w:rsidP="00AA71F4">
            <w:pPr>
              <w:rPr>
                <w:rFonts w:ascii="Arial" w:hAnsi="Arial" w:cs="Arial"/>
              </w:rPr>
            </w:pPr>
          </w:p>
        </w:tc>
        <w:tc>
          <w:tcPr>
            <w:tcW w:w="3870" w:type="dxa"/>
          </w:tcPr>
          <w:p w:rsidR="00FE47F6" w:rsidRPr="00FA0DBD" w:rsidRDefault="00FE47F6" w:rsidP="00AA71F4">
            <w:pPr>
              <w:rPr>
                <w:rFonts w:ascii="Arial" w:hAnsi="Arial" w:cs="Arial"/>
              </w:rPr>
            </w:pPr>
          </w:p>
        </w:tc>
      </w:tr>
    </w:tbl>
    <w:p w:rsidR="00FE47F6" w:rsidRDefault="00FE47F6" w:rsidP="00AA71F4">
      <w:pPr>
        <w:spacing w:after="0" w:line="240" w:lineRule="auto"/>
        <w:rPr>
          <w:rFonts w:ascii="Arial" w:hAnsi="Arial" w:cs="Arial"/>
          <w:sz w:val="20"/>
          <w:szCs w:val="20"/>
        </w:rPr>
      </w:pPr>
    </w:p>
    <w:p w:rsidR="00427811" w:rsidRDefault="00427811" w:rsidP="00AA71F4">
      <w:pPr>
        <w:spacing w:after="0" w:line="240" w:lineRule="auto"/>
        <w:rPr>
          <w:rFonts w:ascii="Arial" w:hAnsi="Arial" w:cs="Arial"/>
          <w:sz w:val="20"/>
          <w:szCs w:val="20"/>
        </w:rPr>
      </w:pPr>
      <w:r w:rsidRPr="00427811">
        <w:rPr>
          <w:rFonts w:ascii="Arial" w:hAnsi="Arial" w:cs="Arial"/>
          <w:sz w:val="20"/>
          <w:szCs w:val="20"/>
          <w:highlight w:val="yellow"/>
        </w:rPr>
        <w:t>The above section should have contact information for the Principal Investigator and the study personnel with direct oversight of the people administering the agent.  This is usually the head nurse for the study or the study coordinator.</w:t>
      </w:r>
    </w:p>
    <w:p w:rsidR="00427811" w:rsidRDefault="00427811" w:rsidP="00AA71F4">
      <w:pPr>
        <w:spacing w:after="0" w:line="240" w:lineRule="auto"/>
        <w:rPr>
          <w:rFonts w:ascii="Arial" w:hAnsi="Arial" w:cs="Arial"/>
          <w:sz w:val="20"/>
          <w:szCs w:val="20"/>
        </w:rPr>
      </w:pPr>
    </w:p>
    <w:p w:rsidR="00427811" w:rsidRPr="00FA0DBD" w:rsidRDefault="00427811" w:rsidP="00AA71F4">
      <w:pPr>
        <w:spacing w:after="0" w:line="240" w:lineRule="auto"/>
        <w:rPr>
          <w:rFonts w:ascii="Arial" w:hAnsi="Arial" w:cs="Arial"/>
          <w:sz w:val="20"/>
          <w:szCs w:val="20"/>
        </w:rPr>
      </w:pPr>
    </w:p>
    <w:tbl>
      <w:tblPr>
        <w:tblStyle w:val="TableGrid"/>
        <w:tblW w:w="10728" w:type="dxa"/>
        <w:tblLook w:val="04A0" w:firstRow="1" w:lastRow="0" w:firstColumn="1" w:lastColumn="0" w:noHBand="0" w:noVBand="1"/>
      </w:tblPr>
      <w:tblGrid>
        <w:gridCol w:w="1672"/>
        <w:gridCol w:w="9056"/>
      </w:tblGrid>
      <w:tr w:rsidR="00C14C62" w:rsidRPr="00FA0DBD" w:rsidTr="001063F8">
        <w:tc>
          <w:tcPr>
            <w:tcW w:w="1672" w:type="dxa"/>
          </w:tcPr>
          <w:p w:rsidR="00C14C62" w:rsidRPr="00FA0DBD" w:rsidRDefault="00C14C62" w:rsidP="00135E4A">
            <w:pPr>
              <w:spacing w:after="120"/>
              <w:rPr>
                <w:rFonts w:ascii="Arial" w:hAnsi="Arial" w:cs="Arial"/>
                <w:b/>
                <w:sz w:val="24"/>
                <w:szCs w:val="24"/>
              </w:rPr>
            </w:pPr>
            <w:r w:rsidRPr="00FA0DBD">
              <w:rPr>
                <w:rFonts w:ascii="Arial" w:hAnsi="Arial" w:cs="Arial"/>
                <w:b/>
                <w:sz w:val="24"/>
                <w:szCs w:val="24"/>
              </w:rPr>
              <w:t xml:space="preserve">Test Article </w:t>
            </w:r>
          </w:p>
        </w:tc>
        <w:tc>
          <w:tcPr>
            <w:tcW w:w="9056" w:type="dxa"/>
          </w:tcPr>
          <w:p w:rsidR="00C14C62" w:rsidRPr="00FA0DBD" w:rsidRDefault="00C14C62" w:rsidP="00135E4A">
            <w:pPr>
              <w:spacing w:after="120"/>
              <w:rPr>
                <w:rFonts w:ascii="Arial" w:hAnsi="Arial" w:cs="Arial"/>
                <w:b/>
                <w:sz w:val="24"/>
                <w:szCs w:val="24"/>
              </w:rPr>
            </w:pPr>
          </w:p>
        </w:tc>
      </w:tr>
      <w:tr w:rsidR="00C14C62" w:rsidRPr="00FA0DBD" w:rsidTr="001063F8">
        <w:tc>
          <w:tcPr>
            <w:tcW w:w="1672" w:type="dxa"/>
          </w:tcPr>
          <w:p w:rsidR="00C14C62" w:rsidRPr="00135E4A" w:rsidRDefault="00C14C62" w:rsidP="00AA71F4">
            <w:pPr>
              <w:rPr>
                <w:rFonts w:ascii="Arial" w:hAnsi="Arial" w:cs="Arial"/>
                <w:b/>
                <w:sz w:val="20"/>
                <w:szCs w:val="20"/>
              </w:rPr>
            </w:pPr>
            <w:r w:rsidRPr="00877E16">
              <w:rPr>
                <w:rFonts w:ascii="Arial" w:hAnsi="Arial" w:cs="Arial"/>
                <w:b/>
                <w:sz w:val="20"/>
                <w:szCs w:val="20"/>
              </w:rPr>
              <w:t>Description</w:t>
            </w:r>
            <w:r w:rsidR="001063F8">
              <w:rPr>
                <w:rFonts w:ascii="Arial" w:hAnsi="Arial" w:cs="Arial"/>
                <w:b/>
                <w:sz w:val="20"/>
                <w:szCs w:val="20"/>
              </w:rPr>
              <w:t xml:space="preserve"> of Test Article</w:t>
            </w:r>
            <w:r w:rsidRPr="00135E4A">
              <w:rPr>
                <w:rFonts w:ascii="Arial" w:hAnsi="Arial" w:cs="Arial"/>
                <w:b/>
                <w:sz w:val="20"/>
                <w:szCs w:val="20"/>
              </w:rPr>
              <w:t xml:space="preserve"> </w:t>
            </w:r>
          </w:p>
        </w:tc>
        <w:tc>
          <w:tcPr>
            <w:tcW w:w="9056" w:type="dxa"/>
          </w:tcPr>
          <w:p w:rsidR="00007D35" w:rsidRPr="00FA0DBD" w:rsidRDefault="00427811" w:rsidP="00007D35">
            <w:pPr>
              <w:autoSpaceDE w:val="0"/>
              <w:autoSpaceDN w:val="0"/>
              <w:adjustRightInd w:val="0"/>
              <w:rPr>
                <w:rFonts w:ascii="Arial" w:hAnsi="Arial" w:cs="Arial"/>
                <w:sz w:val="20"/>
                <w:szCs w:val="20"/>
              </w:rPr>
            </w:pPr>
            <w:r>
              <w:rPr>
                <w:rFonts w:ascii="Arial" w:hAnsi="Arial" w:cs="Arial"/>
                <w:sz w:val="20"/>
                <w:szCs w:val="20"/>
              </w:rPr>
              <w:t xml:space="preserve">The description of the test article goes here.  This should be the same language as in the </w:t>
            </w:r>
            <w:proofErr w:type="spellStart"/>
            <w:r>
              <w:rPr>
                <w:rFonts w:ascii="Arial" w:hAnsi="Arial" w:cs="Arial"/>
                <w:sz w:val="20"/>
                <w:szCs w:val="20"/>
              </w:rPr>
              <w:t>biorisk</w:t>
            </w:r>
            <w:proofErr w:type="spellEnd"/>
            <w:r>
              <w:rPr>
                <w:rFonts w:ascii="Arial" w:hAnsi="Arial" w:cs="Arial"/>
                <w:sz w:val="20"/>
                <w:szCs w:val="20"/>
              </w:rPr>
              <w:t xml:space="preserve"> summary.</w:t>
            </w:r>
          </w:p>
        </w:tc>
      </w:tr>
      <w:tr w:rsidR="00A96BF6" w:rsidRPr="00FA0DBD" w:rsidTr="001063F8">
        <w:tc>
          <w:tcPr>
            <w:tcW w:w="1672" w:type="dxa"/>
          </w:tcPr>
          <w:p w:rsidR="00A96BF6" w:rsidRPr="00135E4A" w:rsidRDefault="00A96BF6" w:rsidP="004D676E">
            <w:pPr>
              <w:rPr>
                <w:rFonts w:ascii="Arial" w:hAnsi="Arial" w:cs="Arial"/>
                <w:b/>
                <w:sz w:val="20"/>
                <w:szCs w:val="20"/>
              </w:rPr>
            </w:pPr>
            <w:r w:rsidRPr="00135E4A">
              <w:rPr>
                <w:rFonts w:ascii="Arial" w:hAnsi="Arial" w:cs="Arial"/>
                <w:b/>
                <w:sz w:val="20"/>
                <w:szCs w:val="20"/>
              </w:rPr>
              <w:t>Material Handling Considerations</w:t>
            </w:r>
          </w:p>
        </w:tc>
        <w:tc>
          <w:tcPr>
            <w:tcW w:w="9056" w:type="dxa"/>
          </w:tcPr>
          <w:p w:rsidR="00C831EE" w:rsidRDefault="00427811" w:rsidP="00427811">
            <w:pPr>
              <w:autoSpaceDE w:val="0"/>
              <w:autoSpaceDN w:val="0"/>
              <w:adjustRightInd w:val="0"/>
              <w:rPr>
                <w:rFonts w:ascii="Arial" w:hAnsi="Arial" w:cs="Arial"/>
                <w:sz w:val="20"/>
                <w:szCs w:val="20"/>
              </w:rPr>
            </w:pPr>
            <w:r>
              <w:rPr>
                <w:rFonts w:ascii="Arial" w:hAnsi="Arial" w:cs="Arial"/>
                <w:sz w:val="20"/>
                <w:szCs w:val="20"/>
              </w:rPr>
              <w:t xml:space="preserve">Information on how to handle the test article goes here.  This should address handling procedures for the staff preparing the test agent for administration and for the staff who will </w:t>
            </w:r>
            <w:r w:rsidR="00061332">
              <w:rPr>
                <w:rFonts w:ascii="Arial" w:hAnsi="Arial" w:cs="Arial"/>
                <w:sz w:val="20"/>
                <w:szCs w:val="20"/>
              </w:rPr>
              <w:t xml:space="preserve">be </w:t>
            </w:r>
            <w:r>
              <w:rPr>
                <w:rFonts w:ascii="Arial" w:hAnsi="Arial" w:cs="Arial"/>
                <w:sz w:val="20"/>
                <w:szCs w:val="20"/>
              </w:rPr>
              <w:t xml:space="preserve">administering the agent to the patient.  </w:t>
            </w:r>
          </w:p>
          <w:p w:rsidR="00061332" w:rsidRDefault="00061332" w:rsidP="00427811">
            <w:pPr>
              <w:autoSpaceDE w:val="0"/>
              <w:autoSpaceDN w:val="0"/>
              <w:adjustRightInd w:val="0"/>
              <w:rPr>
                <w:rFonts w:ascii="Arial" w:hAnsi="Arial" w:cs="Arial"/>
                <w:sz w:val="20"/>
                <w:szCs w:val="20"/>
              </w:rPr>
            </w:pPr>
          </w:p>
          <w:p w:rsidR="00061332" w:rsidRPr="003A0216" w:rsidRDefault="00FF2BBA" w:rsidP="00FF2BBA">
            <w:pPr>
              <w:autoSpaceDE w:val="0"/>
              <w:autoSpaceDN w:val="0"/>
              <w:adjustRightInd w:val="0"/>
              <w:rPr>
                <w:rFonts w:ascii="Arial" w:hAnsi="Arial" w:cs="Arial"/>
                <w:sz w:val="20"/>
                <w:szCs w:val="20"/>
                <w:highlight w:val="yellow"/>
              </w:rPr>
            </w:pPr>
            <w:r w:rsidRPr="003A0216">
              <w:rPr>
                <w:rFonts w:ascii="Arial" w:hAnsi="Arial" w:cs="Arial"/>
                <w:sz w:val="20"/>
                <w:szCs w:val="20"/>
                <w:highlight w:val="yellow"/>
              </w:rPr>
              <w:t>If the study materials describe handling procedures for the agent, copy or paraphrase them here.  This information may be in the Protocol, Investigator’s Brochure or Pharmacy Manual buried in the descriptions for preparing or administering the study agent.</w:t>
            </w:r>
          </w:p>
          <w:p w:rsidR="00FF2BBA" w:rsidRPr="003A0216" w:rsidRDefault="00FF2BBA" w:rsidP="00FF2BBA">
            <w:pPr>
              <w:autoSpaceDE w:val="0"/>
              <w:autoSpaceDN w:val="0"/>
              <w:adjustRightInd w:val="0"/>
              <w:rPr>
                <w:rFonts w:ascii="Arial" w:hAnsi="Arial" w:cs="Arial"/>
                <w:sz w:val="20"/>
                <w:szCs w:val="20"/>
                <w:highlight w:val="yellow"/>
              </w:rPr>
            </w:pPr>
          </w:p>
          <w:p w:rsidR="00FF2BBA" w:rsidRPr="003A0216" w:rsidRDefault="00FF2BBA" w:rsidP="00FF2BBA">
            <w:pPr>
              <w:autoSpaceDE w:val="0"/>
              <w:autoSpaceDN w:val="0"/>
              <w:adjustRightInd w:val="0"/>
              <w:rPr>
                <w:rFonts w:ascii="Arial" w:hAnsi="Arial" w:cs="Arial"/>
                <w:sz w:val="20"/>
                <w:szCs w:val="20"/>
                <w:highlight w:val="yellow"/>
              </w:rPr>
            </w:pPr>
            <w:r w:rsidRPr="003A0216">
              <w:rPr>
                <w:rFonts w:ascii="Arial" w:hAnsi="Arial" w:cs="Arial"/>
                <w:sz w:val="20"/>
                <w:szCs w:val="20"/>
                <w:highlight w:val="yellow"/>
              </w:rPr>
              <w:t>If the study materials do not describe handling procedures, then a biosafety risk assessment of the agent must be made and handling procedures suggested by the protocol analyst or Committee members.  Here are some common examples:</w:t>
            </w:r>
          </w:p>
          <w:p w:rsidR="00FF2BBA" w:rsidRPr="003A0216" w:rsidRDefault="00FF2BBA" w:rsidP="00FF2BBA">
            <w:pPr>
              <w:autoSpaceDE w:val="0"/>
              <w:autoSpaceDN w:val="0"/>
              <w:adjustRightInd w:val="0"/>
              <w:rPr>
                <w:rFonts w:ascii="Arial" w:hAnsi="Arial" w:cs="Arial"/>
                <w:sz w:val="20"/>
                <w:szCs w:val="20"/>
                <w:highlight w:val="yellow"/>
              </w:rPr>
            </w:pPr>
          </w:p>
          <w:p w:rsidR="00FF2BBA" w:rsidRPr="003A0216" w:rsidRDefault="00FF2BBA" w:rsidP="00FF2BBA">
            <w:pPr>
              <w:autoSpaceDE w:val="0"/>
              <w:autoSpaceDN w:val="0"/>
              <w:adjustRightInd w:val="0"/>
              <w:rPr>
                <w:rFonts w:ascii="Arial" w:hAnsi="Arial" w:cs="Arial"/>
                <w:sz w:val="20"/>
                <w:szCs w:val="20"/>
                <w:highlight w:val="yellow"/>
              </w:rPr>
            </w:pPr>
            <w:r w:rsidRPr="003A0216">
              <w:rPr>
                <w:rFonts w:ascii="Arial" w:hAnsi="Arial" w:cs="Arial"/>
                <w:sz w:val="20"/>
                <w:szCs w:val="20"/>
                <w:highlight w:val="yellow"/>
              </w:rPr>
              <w:t>Agent contains human-derived cells:  Agent should be prepared in a biosafety cabinet under BSL-2 conditions.  Personnel administering the agent should use universal precautions.</w:t>
            </w:r>
          </w:p>
          <w:p w:rsidR="00FF2BBA" w:rsidRPr="003A0216" w:rsidRDefault="00FF2BBA" w:rsidP="00FF2BBA">
            <w:pPr>
              <w:autoSpaceDE w:val="0"/>
              <w:autoSpaceDN w:val="0"/>
              <w:adjustRightInd w:val="0"/>
              <w:rPr>
                <w:rFonts w:ascii="Arial" w:hAnsi="Arial" w:cs="Arial"/>
                <w:sz w:val="20"/>
                <w:szCs w:val="20"/>
                <w:highlight w:val="yellow"/>
              </w:rPr>
            </w:pPr>
          </w:p>
          <w:p w:rsidR="00FF2BBA" w:rsidRPr="003A0216" w:rsidRDefault="00FF2BBA" w:rsidP="00FF2BBA">
            <w:pPr>
              <w:autoSpaceDE w:val="0"/>
              <w:autoSpaceDN w:val="0"/>
              <w:adjustRightInd w:val="0"/>
              <w:rPr>
                <w:rFonts w:ascii="Arial" w:hAnsi="Arial" w:cs="Arial"/>
                <w:sz w:val="20"/>
                <w:szCs w:val="20"/>
                <w:highlight w:val="yellow"/>
              </w:rPr>
            </w:pPr>
            <w:r w:rsidRPr="003A0216">
              <w:rPr>
                <w:rFonts w:ascii="Arial" w:hAnsi="Arial" w:cs="Arial"/>
                <w:sz w:val="20"/>
                <w:szCs w:val="20"/>
                <w:highlight w:val="yellow"/>
              </w:rPr>
              <w:t>Agen</w:t>
            </w:r>
            <w:r w:rsidR="003A0216" w:rsidRPr="003A0216">
              <w:rPr>
                <w:rFonts w:ascii="Arial" w:hAnsi="Arial" w:cs="Arial"/>
                <w:sz w:val="20"/>
                <w:szCs w:val="20"/>
                <w:highlight w:val="yellow"/>
              </w:rPr>
              <w:t>t is a Risk Group 2</w:t>
            </w:r>
            <w:r w:rsidRPr="003A0216">
              <w:rPr>
                <w:rFonts w:ascii="Arial" w:hAnsi="Arial" w:cs="Arial"/>
                <w:sz w:val="20"/>
                <w:szCs w:val="20"/>
                <w:highlight w:val="yellow"/>
              </w:rPr>
              <w:t xml:space="preserve"> infectious agen</w:t>
            </w:r>
            <w:r w:rsidR="003A0216" w:rsidRPr="003A0216">
              <w:rPr>
                <w:rFonts w:ascii="Arial" w:hAnsi="Arial" w:cs="Arial"/>
                <w:sz w:val="20"/>
                <w:szCs w:val="20"/>
                <w:highlight w:val="yellow"/>
              </w:rPr>
              <w:t xml:space="preserve">t (bacteria, virus, </w:t>
            </w:r>
            <w:proofErr w:type="spellStart"/>
            <w:r w:rsidR="003A0216" w:rsidRPr="003A0216">
              <w:rPr>
                <w:rFonts w:ascii="Arial" w:hAnsi="Arial" w:cs="Arial"/>
                <w:sz w:val="20"/>
                <w:szCs w:val="20"/>
                <w:highlight w:val="yellow"/>
              </w:rPr>
              <w:t>etc</w:t>
            </w:r>
            <w:proofErr w:type="spellEnd"/>
            <w:r w:rsidR="003A0216" w:rsidRPr="003A0216">
              <w:rPr>
                <w:rFonts w:ascii="Arial" w:hAnsi="Arial" w:cs="Arial"/>
                <w:sz w:val="20"/>
                <w:szCs w:val="20"/>
                <w:highlight w:val="yellow"/>
              </w:rPr>
              <w:t xml:space="preserve"> that causes treatable disease) or is derived from one: Agent should be prepared in a biosafety cabinet under BSL-2 conditions.  Personnel administering the agent should use universal precautions.</w:t>
            </w:r>
          </w:p>
          <w:p w:rsidR="003A0216" w:rsidRPr="003A0216" w:rsidRDefault="003A0216" w:rsidP="00FF2BBA">
            <w:pPr>
              <w:autoSpaceDE w:val="0"/>
              <w:autoSpaceDN w:val="0"/>
              <w:adjustRightInd w:val="0"/>
              <w:rPr>
                <w:rFonts w:ascii="Arial" w:hAnsi="Arial" w:cs="Arial"/>
                <w:sz w:val="20"/>
                <w:szCs w:val="20"/>
                <w:highlight w:val="yellow"/>
              </w:rPr>
            </w:pPr>
          </w:p>
          <w:p w:rsidR="003A0216" w:rsidRDefault="003A0216" w:rsidP="00FF2BBA">
            <w:pPr>
              <w:autoSpaceDE w:val="0"/>
              <w:autoSpaceDN w:val="0"/>
              <w:adjustRightInd w:val="0"/>
              <w:rPr>
                <w:rFonts w:ascii="Arial" w:hAnsi="Arial" w:cs="Arial"/>
                <w:sz w:val="20"/>
                <w:szCs w:val="20"/>
              </w:rPr>
            </w:pPr>
            <w:r w:rsidRPr="003A0216">
              <w:rPr>
                <w:rFonts w:ascii="Arial" w:hAnsi="Arial" w:cs="Arial"/>
                <w:sz w:val="20"/>
                <w:szCs w:val="20"/>
                <w:highlight w:val="yellow"/>
              </w:rPr>
              <w:t>If the agent contains recombinant DNA, the waste will need to be disposed of in a waste stream where the DNA is rendered non-viable before final disposal.  For example, the recombinant DNA containing waste could be autoclaved or sent for incineration.</w:t>
            </w:r>
            <w:r>
              <w:rPr>
                <w:rFonts w:ascii="Arial" w:hAnsi="Arial" w:cs="Arial"/>
                <w:sz w:val="20"/>
                <w:szCs w:val="20"/>
              </w:rPr>
              <w:t xml:space="preserve"> </w:t>
            </w:r>
          </w:p>
          <w:p w:rsidR="00FF2BBA" w:rsidRDefault="00FF2BBA" w:rsidP="00FF2BBA">
            <w:pPr>
              <w:autoSpaceDE w:val="0"/>
              <w:autoSpaceDN w:val="0"/>
              <w:adjustRightInd w:val="0"/>
              <w:rPr>
                <w:rFonts w:ascii="Arial" w:hAnsi="Arial" w:cs="Arial"/>
                <w:sz w:val="20"/>
                <w:szCs w:val="20"/>
              </w:rPr>
            </w:pPr>
          </w:p>
          <w:p w:rsidR="00FF17D4" w:rsidRPr="00745DBE" w:rsidRDefault="00FF17D4" w:rsidP="00FF17D4">
            <w:pPr>
              <w:pStyle w:val="ListParagraph"/>
              <w:numPr>
                <w:ilvl w:val="0"/>
                <w:numId w:val="1"/>
              </w:numPr>
              <w:rPr>
                <w:rFonts w:ascii="Arial" w:hAnsi="Arial" w:cs="Arial"/>
                <w:sz w:val="20"/>
                <w:szCs w:val="20"/>
              </w:rPr>
            </w:pPr>
            <w:r w:rsidRPr="00745DBE">
              <w:rPr>
                <w:rFonts w:ascii="Arial" w:hAnsi="Arial" w:cs="Arial"/>
                <w:sz w:val="20"/>
                <w:szCs w:val="20"/>
              </w:rPr>
              <w:t>All personnel handling CRS-207 must be provided with and complete awareness training regarding the risks associated with this product (elevated exposure risk for pregnant personnel).  Only personnel who have completed this training may be dispatched for responding to spills involving this product.</w:t>
            </w:r>
          </w:p>
          <w:p w:rsidR="00FF17D4" w:rsidRPr="00427811" w:rsidRDefault="00FF17D4" w:rsidP="00FF2BBA">
            <w:pPr>
              <w:autoSpaceDE w:val="0"/>
              <w:autoSpaceDN w:val="0"/>
              <w:adjustRightInd w:val="0"/>
              <w:rPr>
                <w:rFonts w:ascii="Arial" w:hAnsi="Arial" w:cs="Arial"/>
                <w:sz w:val="20"/>
                <w:szCs w:val="20"/>
              </w:rPr>
            </w:pPr>
          </w:p>
        </w:tc>
      </w:tr>
      <w:tr w:rsidR="00C14C62" w:rsidRPr="00FA0DBD" w:rsidTr="001063F8">
        <w:tc>
          <w:tcPr>
            <w:tcW w:w="1672" w:type="dxa"/>
          </w:tcPr>
          <w:p w:rsidR="00C14C62" w:rsidRPr="00135E4A" w:rsidRDefault="00C14C62" w:rsidP="00A96BF6">
            <w:pPr>
              <w:rPr>
                <w:rFonts w:ascii="Arial" w:hAnsi="Arial" w:cs="Arial"/>
                <w:b/>
                <w:sz w:val="20"/>
                <w:szCs w:val="20"/>
              </w:rPr>
            </w:pPr>
            <w:r w:rsidRPr="00A152A6">
              <w:rPr>
                <w:rFonts w:ascii="Arial" w:hAnsi="Arial" w:cs="Arial"/>
                <w:b/>
                <w:sz w:val="20"/>
                <w:szCs w:val="20"/>
              </w:rPr>
              <w:t xml:space="preserve">Exposure Response </w:t>
            </w:r>
            <w:r w:rsidR="00A96BF6">
              <w:rPr>
                <w:rFonts w:ascii="Arial" w:hAnsi="Arial" w:cs="Arial"/>
                <w:b/>
                <w:sz w:val="20"/>
                <w:szCs w:val="20"/>
              </w:rPr>
              <w:t>Actions</w:t>
            </w:r>
          </w:p>
        </w:tc>
        <w:tc>
          <w:tcPr>
            <w:tcW w:w="9056" w:type="dxa"/>
          </w:tcPr>
          <w:p w:rsidR="001063F8" w:rsidRPr="001063F8" w:rsidRDefault="001063F8" w:rsidP="001063F8">
            <w:pPr>
              <w:autoSpaceDE w:val="0"/>
              <w:autoSpaceDN w:val="0"/>
              <w:adjustRightInd w:val="0"/>
              <w:rPr>
                <w:rFonts w:ascii="Arial" w:hAnsi="Arial" w:cs="Arial"/>
                <w:sz w:val="20"/>
                <w:szCs w:val="20"/>
              </w:rPr>
            </w:pPr>
          </w:p>
          <w:p w:rsidR="00D608AE" w:rsidRPr="00D608AE" w:rsidRDefault="00A96BF6" w:rsidP="00D608AE">
            <w:pPr>
              <w:pStyle w:val="ListParagraph"/>
              <w:numPr>
                <w:ilvl w:val="0"/>
                <w:numId w:val="2"/>
              </w:numPr>
              <w:autoSpaceDE w:val="0"/>
              <w:autoSpaceDN w:val="0"/>
              <w:adjustRightInd w:val="0"/>
              <w:rPr>
                <w:rFonts w:ascii="Arial" w:hAnsi="Arial" w:cs="Arial"/>
                <w:sz w:val="20"/>
                <w:szCs w:val="20"/>
              </w:rPr>
            </w:pPr>
            <w:r w:rsidRPr="00D608AE">
              <w:rPr>
                <w:rFonts w:ascii="Arial" w:hAnsi="Arial" w:cs="Arial"/>
                <w:sz w:val="20"/>
                <w:szCs w:val="20"/>
              </w:rPr>
              <w:t xml:space="preserve">In the event of a </w:t>
            </w:r>
            <w:proofErr w:type="spellStart"/>
            <w:r w:rsidRPr="00D608AE">
              <w:rPr>
                <w:rFonts w:ascii="Arial" w:hAnsi="Arial" w:cs="Arial"/>
                <w:sz w:val="20"/>
                <w:szCs w:val="20"/>
              </w:rPr>
              <w:t>needlestick</w:t>
            </w:r>
            <w:proofErr w:type="spellEnd"/>
            <w:r w:rsidRPr="00D608AE">
              <w:rPr>
                <w:rFonts w:ascii="Arial" w:hAnsi="Arial" w:cs="Arial"/>
                <w:sz w:val="20"/>
                <w:szCs w:val="20"/>
              </w:rPr>
              <w:t xml:space="preserve"> or contact with test article through broken skin or mucous membranes, flush the exposed area with running water for 15 minute</w:t>
            </w:r>
            <w:r w:rsidR="00E350CD" w:rsidRPr="00D608AE">
              <w:rPr>
                <w:rFonts w:ascii="Arial" w:hAnsi="Arial" w:cs="Arial"/>
                <w:sz w:val="20"/>
                <w:szCs w:val="20"/>
              </w:rPr>
              <w:t>s</w:t>
            </w:r>
            <w:r w:rsidRPr="00D608AE">
              <w:rPr>
                <w:rFonts w:ascii="Arial" w:hAnsi="Arial" w:cs="Arial"/>
                <w:sz w:val="20"/>
                <w:szCs w:val="20"/>
              </w:rPr>
              <w:t xml:space="preserve">.  </w:t>
            </w:r>
          </w:p>
          <w:p w:rsidR="00D608AE" w:rsidRPr="00D608AE" w:rsidRDefault="00A96BF6" w:rsidP="00D608AE">
            <w:pPr>
              <w:pStyle w:val="ListParagraph"/>
              <w:numPr>
                <w:ilvl w:val="0"/>
                <w:numId w:val="2"/>
              </w:numPr>
              <w:autoSpaceDE w:val="0"/>
              <w:autoSpaceDN w:val="0"/>
              <w:adjustRightInd w:val="0"/>
              <w:rPr>
                <w:rFonts w:ascii="Arial" w:hAnsi="Arial" w:cs="Arial"/>
                <w:sz w:val="20"/>
                <w:szCs w:val="20"/>
              </w:rPr>
            </w:pPr>
            <w:r w:rsidRPr="00D608AE">
              <w:rPr>
                <w:rFonts w:ascii="Arial" w:hAnsi="Arial" w:cs="Arial"/>
                <w:sz w:val="20"/>
                <w:szCs w:val="20"/>
              </w:rPr>
              <w:t xml:space="preserve">For a cut, puncture or scratch, cleanse the area with soap and water.  </w:t>
            </w:r>
          </w:p>
          <w:p w:rsidR="00D608AE" w:rsidRPr="00D608AE" w:rsidRDefault="00D608AE" w:rsidP="00D608AE">
            <w:pPr>
              <w:pStyle w:val="ListParagraph"/>
              <w:numPr>
                <w:ilvl w:val="0"/>
                <w:numId w:val="2"/>
              </w:numPr>
              <w:rPr>
                <w:rFonts w:ascii="Arial" w:hAnsi="Arial" w:cs="Arial"/>
                <w:sz w:val="20"/>
                <w:szCs w:val="20"/>
              </w:rPr>
            </w:pPr>
            <w:r w:rsidRPr="00D608AE">
              <w:rPr>
                <w:rFonts w:ascii="Arial" w:hAnsi="Arial" w:cs="Arial"/>
                <w:sz w:val="20"/>
                <w:szCs w:val="20"/>
              </w:rPr>
              <w:lastRenderedPageBreak/>
              <w:t xml:space="preserve">Seek further medical attention or a medical evaluation at the Vanderbilt Occupational Health Clinic, 1211 21st Ave. South, Suite 640 Medical Arts Building, Monday - Friday, </w:t>
            </w:r>
            <w:proofErr w:type="gramStart"/>
            <w:r w:rsidR="00132FEC">
              <w:rPr>
                <w:rFonts w:ascii="Arial" w:hAnsi="Arial" w:cs="Arial"/>
                <w:sz w:val="20"/>
                <w:szCs w:val="20"/>
              </w:rPr>
              <w:t>7am</w:t>
            </w:r>
            <w:proofErr w:type="gramEnd"/>
            <w:r w:rsidR="00132FEC">
              <w:rPr>
                <w:rFonts w:ascii="Arial" w:hAnsi="Arial" w:cs="Arial"/>
                <w:sz w:val="20"/>
                <w:szCs w:val="20"/>
              </w:rPr>
              <w:t>-6</w:t>
            </w:r>
            <w:r w:rsidRPr="00D608AE">
              <w:rPr>
                <w:rFonts w:ascii="Arial" w:hAnsi="Arial" w:cs="Arial"/>
                <w:sz w:val="20"/>
                <w:szCs w:val="20"/>
              </w:rPr>
              <w:t xml:space="preserve"> pm. The OHC phone number is 936-0955.  If the exposure occurs after hours/on weekend, call this number for instructions regarding post-exposure evaluation unless the exposure involved human-derived materials/cells.  (In the instance of an exposure involving human-derived materials, report to the Vanderbilt University Hospital Emergency Department immediately.) </w:t>
            </w:r>
            <w:bookmarkStart w:id="0" w:name="_GoBack"/>
            <w:bookmarkEnd w:id="0"/>
          </w:p>
          <w:p w:rsidR="00A96BF6" w:rsidRPr="00132FEC" w:rsidRDefault="00A96BF6" w:rsidP="00132FEC">
            <w:pPr>
              <w:pStyle w:val="ListParagraph"/>
              <w:numPr>
                <w:ilvl w:val="0"/>
                <w:numId w:val="2"/>
              </w:numPr>
              <w:autoSpaceDE w:val="0"/>
              <w:autoSpaceDN w:val="0"/>
              <w:adjustRightInd w:val="0"/>
              <w:rPr>
                <w:rFonts w:ascii="Arial" w:hAnsi="Arial" w:cs="Arial"/>
                <w:sz w:val="20"/>
                <w:szCs w:val="20"/>
                <w:highlight w:val="green"/>
              </w:rPr>
            </w:pPr>
            <w:r w:rsidRPr="00D608AE">
              <w:rPr>
                <w:rFonts w:ascii="Arial" w:hAnsi="Arial" w:cs="Arial"/>
                <w:sz w:val="20"/>
                <w:szCs w:val="20"/>
              </w:rPr>
              <w:t>The PI or the PI’s designate must notify the Institutional Biosafety Committee</w:t>
            </w:r>
            <w:r w:rsidR="00132FEC">
              <w:rPr>
                <w:rFonts w:ascii="Arial" w:hAnsi="Arial" w:cs="Arial"/>
                <w:sz w:val="20"/>
                <w:szCs w:val="20"/>
              </w:rPr>
              <w:t xml:space="preserve"> for Human Subjects</w:t>
            </w:r>
            <w:r w:rsidRPr="00D608AE">
              <w:rPr>
                <w:rFonts w:ascii="Arial" w:hAnsi="Arial" w:cs="Arial"/>
                <w:sz w:val="20"/>
                <w:szCs w:val="20"/>
              </w:rPr>
              <w:t xml:space="preserve"> in the event of an exposure.</w:t>
            </w:r>
            <w:r w:rsidR="00132FEC">
              <w:rPr>
                <w:rFonts w:ascii="Arial" w:hAnsi="Arial" w:cs="Arial"/>
                <w:sz w:val="20"/>
                <w:szCs w:val="20"/>
              </w:rPr>
              <w:t xml:space="preserve"> </w:t>
            </w:r>
            <w:r w:rsidR="00132FEC" w:rsidRPr="00132FEC">
              <w:rPr>
                <w:rFonts w:ascii="Arial" w:hAnsi="Arial" w:cs="Arial"/>
                <w:sz w:val="20"/>
                <w:szCs w:val="20"/>
                <w:highlight w:val="green"/>
              </w:rPr>
              <w:t xml:space="preserve">The point of contact is the </w:t>
            </w:r>
            <w:r w:rsidR="00132FEC" w:rsidRPr="00132FEC">
              <w:rPr>
                <w:rFonts w:ascii="Arial" w:hAnsi="Arial" w:cs="Arial"/>
                <w:sz w:val="20"/>
                <w:szCs w:val="20"/>
                <w:highlight w:val="green"/>
              </w:rPr>
              <w:t>Biological Safety Officer</w:t>
            </w:r>
            <w:r w:rsidR="00132FEC" w:rsidRPr="00132FEC">
              <w:rPr>
                <w:rFonts w:ascii="Arial" w:hAnsi="Arial" w:cs="Arial"/>
                <w:sz w:val="20"/>
                <w:szCs w:val="20"/>
                <w:highlight w:val="green"/>
              </w:rPr>
              <w:t xml:space="preserve"> </w:t>
            </w:r>
            <w:r w:rsidR="00132FEC" w:rsidRPr="00132FEC">
              <w:rPr>
                <w:rFonts w:ascii="Arial" w:hAnsi="Arial" w:cs="Arial"/>
                <w:sz w:val="20"/>
                <w:szCs w:val="20"/>
                <w:highlight w:val="green"/>
              </w:rPr>
              <w:t>phone: 322-0927 | fax: 343-4951</w:t>
            </w:r>
            <w:r w:rsidR="00132FEC" w:rsidRPr="00132FEC">
              <w:rPr>
                <w:rFonts w:ascii="Arial" w:hAnsi="Arial" w:cs="Arial"/>
                <w:sz w:val="20"/>
                <w:szCs w:val="20"/>
                <w:highlight w:val="green"/>
              </w:rPr>
              <w:t xml:space="preserve"> </w:t>
            </w:r>
            <w:r w:rsidR="00132FEC" w:rsidRPr="00132FEC">
              <w:rPr>
                <w:rFonts w:ascii="Arial" w:hAnsi="Arial" w:cs="Arial"/>
                <w:sz w:val="20"/>
                <w:szCs w:val="20"/>
                <w:highlight w:val="green"/>
              </w:rPr>
              <w:t>robin.trundy@vumc.org</w:t>
            </w:r>
          </w:p>
          <w:p w:rsidR="003A0216" w:rsidRDefault="003A0216" w:rsidP="003A0216">
            <w:pPr>
              <w:pStyle w:val="ListParagraph"/>
              <w:autoSpaceDE w:val="0"/>
              <w:autoSpaceDN w:val="0"/>
              <w:adjustRightInd w:val="0"/>
              <w:ind w:left="360"/>
              <w:rPr>
                <w:rFonts w:ascii="Arial" w:hAnsi="Arial" w:cs="Arial"/>
                <w:sz w:val="20"/>
                <w:szCs w:val="20"/>
              </w:rPr>
            </w:pPr>
          </w:p>
          <w:p w:rsidR="003A0216" w:rsidRDefault="003A0216" w:rsidP="0075311A">
            <w:pPr>
              <w:pStyle w:val="ListParagraph"/>
              <w:autoSpaceDE w:val="0"/>
              <w:autoSpaceDN w:val="0"/>
              <w:adjustRightInd w:val="0"/>
              <w:ind w:left="360"/>
              <w:rPr>
                <w:rFonts w:ascii="Arial" w:hAnsi="Arial" w:cs="Arial"/>
                <w:sz w:val="20"/>
                <w:szCs w:val="20"/>
              </w:rPr>
            </w:pPr>
            <w:r w:rsidRPr="003A0216">
              <w:rPr>
                <w:rFonts w:ascii="Arial" w:hAnsi="Arial" w:cs="Arial"/>
                <w:sz w:val="20"/>
                <w:szCs w:val="20"/>
                <w:highlight w:val="yellow"/>
              </w:rPr>
              <w:t>The points above are stock language that applies to any study agent.  There may be other actions added by either the study PI or Occupational Health.</w:t>
            </w:r>
            <w:r>
              <w:rPr>
                <w:rFonts w:ascii="Arial" w:hAnsi="Arial" w:cs="Arial"/>
                <w:sz w:val="20"/>
                <w:szCs w:val="20"/>
              </w:rPr>
              <w:t xml:space="preserve">  </w:t>
            </w:r>
          </w:p>
          <w:p w:rsidR="00FF17D4" w:rsidRPr="00FF17D4" w:rsidRDefault="00FF17D4" w:rsidP="00FF17D4">
            <w:pPr>
              <w:autoSpaceDE w:val="0"/>
              <w:autoSpaceDN w:val="0"/>
              <w:adjustRightInd w:val="0"/>
              <w:rPr>
                <w:rFonts w:ascii="Arial" w:hAnsi="Arial" w:cs="Arial"/>
                <w:sz w:val="20"/>
                <w:szCs w:val="20"/>
              </w:rPr>
            </w:pPr>
          </w:p>
        </w:tc>
      </w:tr>
      <w:tr w:rsidR="00AD4F64" w:rsidRPr="00FA0DBD" w:rsidTr="001063F8">
        <w:trPr>
          <w:trHeight w:val="512"/>
        </w:trPr>
        <w:tc>
          <w:tcPr>
            <w:tcW w:w="1672" w:type="dxa"/>
          </w:tcPr>
          <w:p w:rsidR="00AD4F64" w:rsidRPr="00135E4A" w:rsidRDefault="00A96BF6" w:rsidP="00AA71F4">
            <w:pPr>
              <w:rPr>
                <w:rFonts w:ascii="Arial" w:hAnsi="Arial" w:cs="Arial"/>
                <w:b/>
                <w:sz w:val="20"/>
                <w:szCs w:val="20"/>
              </w:rPr>
            </w:pPr>
            <w:r>
              <w:rPr>
                <w:rFonts w:ascii="Arial" w:hAnsi="Arial" w:cs="Arial"/>
                <w:b/>
                <w:sz w:val="20"/>
                <w:szCs w:val="20"/>
              </w:rPr>
              <w:lastRenderedPageBreak/>
              <w:t>Post-exposure medical assessment considerations</w:t>
            </w:r>
          </w:p>
        </w:tc>
        <w:tc>
          <w:tcPr>
            <w:tcW w:w="9056" w:type="dxa"/>
          </w:tcPr>
          <w:p w:rsidR="00AD4F64" w:rsidRPr="00A96BF6" w:rsidRDefault="0075311A" w:rsidP="00C831EE">
            <w:pPr>
              <w:autoSpaceDE w:val="0"/>
              <w:autoSpaceDN w:val="0"/>
              <w:adjustRightInd w:val="0"/>
              <w:rPr>
                <w:rFonts w:ascii="Arial" w:hAnsi="Arial" w:cs="Arial"/>
                <w:sz w:val="20"/>
                <w:szCs w:val="20"/>
              </w:rPr>
            </w:pPr>
            <w:r w:rsidRPr="0075311A">
              <w:rPr>
                <w:rFonts w:ascii="Arial" w:hAnsi="Arial" w:cs="Arial"/>
                <w:sz w:val="20"/>
                <w:szCs w:val="20"/>
                <w:highlight w:val="yellow"/>
              </w:rPr>
              <w:t>This section is provided by the study PI and then refined by Occupational Health.  If the study PI or Occupational Health calls for specific follow-up events, such as specific tests, they are detailed here.  This is also where instructions for personnel with an exposure incident would go, such as monitoring for specific symptoms.</w:t>
            </w:r>
          </w:p>
        </w:tc>
      </w:tr>
    </w:tbl>
    <w:p w:rsidR="00FE47F6" w:rsidRPr="00FA0DBD" w:rsidRDefault="00FA0DBD" w:rsidP="00FA0DBD">
      <w:pPr>
        <w:spacing w:after="120" w:line="240" w:lineRule="auto"/>
        <w:rPr>
          <w:rFonts w:ascii="Arial" w:hAnsi="Arial" w:cs="Arial"/>
          <w:b/>
        </w:rPr>
      </w:pPr>
      <w:r w:rsidRPr="00FA0DBD">
        <w:rPr>
          <w:rFonts w:ascii="Arial" w:hAnsi="Arial" w:cs="Arial"/>
          <w:b/>
        </w:rPr>
        <w:t>Study Timeline</w:t>
      </w:r>
    </w:p>
    <w:tbl>
      <w:tblPr>
        <w:tblStyle w:val="TableGrid"/>
        <w:tblW w:w="10458" w:type="dxa"/>
        <w:tblLook w:val="04A0" w:firstRow="1" w:lastRow="0" w:firstColumn="1" w:lastColumn="0" w:noHBand="0" w:noVBand="1"/>
      </w:tblPr>
      <w:tblGrid>
        <w:gridCol w:w="3528"/>
        <w:gridCol w:w="2340"/>
        <w:gridCol w:w="2610"/>
        <w:gridCol w:w="1980"/>
      </w:tblGrid>
      <w:tr w:rsidR="00FA0DBD" w:rsidTr="00A152A6">
        <w:tc>
          <w:tcPr>
            <w:tcW w:w="3528" w:type="dxa"/>
          </w:tcPr>
          <w:p w:rsidR="00FA0DBD" w:rsidRPr="00D525A5" w:rsidRDefault="00FA0DBD" w:rsidP="00AA71F4">
            <w:pPr>
              <w:rPr>
                <w:rFonts w:ascii="Arial" w:hAnsi="Arial" w:cs="Arial"/>
                <w:sz w:val="20"/>
                <w:szCs w:val="20"/>
              </w:rPr>
            </w:pPr>
            <w:r w:rsidRPr="00D525A5">
              <w:rPr>
                <w:rFonts w:ascii="Arial" w:hAnsi="Arial" w:cs="Arial"/>
                <w:sz w:val="20"/>
                <w:szCs w:val="20"/>
              </w:rPr>
              <w:t xml:space="preserve">Anticipated start date </w:t>
            </w:r>
            <w:r w:rsidRPr="00D525A5">
              <w:rPr>
                <w:rFonts w:ascii="Arial" w:hAnsi="Arial" w:cs="Arial"/>
                <w:sz w:val="20"/>
                <w:szCs w:val="20"/>
              </w:rPr>
              <w:br/>
              <w:t>(when doses will first be prepared)</w:t>
            </w:r>
          </w:p>
        </w:tc>
        <w:tc>
          <w:tcPr>
            <w:tcW w:w="2340" w:type="dxa"/>
          </w:tcPr>
          <w:p w:rsidR="00FA0DBD" w:rsidRPr="00D525A5" w:rsidRDefault="00FA0DBD" w:rsidP="00AA71F4">
            <w:pPr>
              <w:rPr>
                <w:rFonts w:ascii="Arial" w:hAnsi="Arial" w:cs="Arial"/>
                <w:sz w:val="20"/>
                <w:szCs w:val="20"/>
              </w:rPr>
            </w:pPr>
          </w:p>
        </w:tc>
        <w:tc>
          <w:tcPr>
            <w:tcW w:w="2610" w:type="dxa"/>
          </w:tcPr>
          <w:p w:rsidR="00FA0DBD" w:rsidRPr="00D525A5" w:rsidRDefault="0068162C" w:rsidP="0068162C">
            <w:pPr>
              <w:rPr>
                <w:rFonts w:ascii="Arial" w:hAnsi="Arial" w:cs="Arial"/>
                <w:sz w:val="20"/>
                <w:szCs w:val="20"/>
              </w:rPr>
            </w:pPr>
            <w:r w:rsidRPr="00D525A5">
              <w:rPr>
                <w:rFonts w:ascii="Arial" w:hAnsi="Arial" w:cs="Arial"/>
                <w:sz w:val="20"/>
                <w:szCs w:val="20"/>
              </w:rPr>
              <w:t xml:space="preserve">Anticipated end </w:t>
            </w:r>
            <w:r w:rsidR="00FA0DBD" w:rsidRPr="00D525A5">
              <w:rPr>
                <w:rFonts w:ascii="Arial" w:hAnsi="Arial" w:cs="Arial"/>
                <w:sz w:val="20"/>
                <w:szCs w:val="20"/>
              </w:rPr>
              <w:t xml:space="preserve">date </w:t>
            </w:r>
            <w:r w:rsidR="00FA0DBD" w:rsidRPr="00D525A5">
              <w:rPr>
                <w:rFonts w:ascii="Arial" w:hAnsi="Arial" w:cs="Arial"/>
                <w:sz w:val="20"/>
                <w:szCs w:val="20"/>
              </w:rPr>
              <w:br/>
            </w:r>
          </w:p>
        </w:tc>
        <w:tc>
          <w:tcPr>
            <w:tcW w:w="1980" w:type="dxa"/>
          </w:tcPr>
          <w:p w:rsidR="00FA0DBD" w:rsidRPr="00D525A5" w:rsidRDefault="00FA0DBD" w:rsidP="00AA71F4">
            <w:pPr>
              <w:rPr>
                <w:rFonts w:ascii="Arial" w:hAnsi="Arial" w:cs="Arial"/>
                <w:sz w:val="20"/>
                <w:szCs w:val="20"/>
              </w:rPr>
            </w:pPr>
          </w:p>
        </w:tc>
      </w:tr>
    </w:tbl>
    <w:p w:rsidR="00AA71F4" w:rsidRDefault="00AA71F4">
      <w:pPr>
        <w:rPr>
          <w:rFonts w:ascii="Arial" w:hAnsi="Arial" w:cs="Arial"/>
        </w:rPr>
      </w:pPr>
    </w:p>
    <w:p w:rsidR="00135E4A" w:rsidRPr="00FA0DBD" w:rsidRDefault="00135E4A">
      <w:pPr>
        <w:rPr>
          <w:rFonts w:ascii="Arial" w:hAnsi="Arial" w:cs="Arial"/>
        </w:rPr>
      </w:pPr>
      <w:r w:rsidRPr="00D525A5">
        <w:rPr>
          <w:rFonts w:ascii="Arial" w:hAnsi="Arial" w:cs="Arial"/>
        </w:rPr>
        <w:t xml:space="preserve">Response Guide prepared by/date:  </w:t>
      </w:r>
    </w:p>
    <w:sectPr w:rsidR="00135E4A" w:rsidRPr="00FA0DBD" w:rsidSect="00D608AE">
      <w:pgSz w:w="12240" w:h="15840"/>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715824"/>
    <w:multiLevelType w:val="hybridMultilevel"/>
    <w:tmpl w:val="0660F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FE96825"/>
    <w:multiLevelType w:val="hybridMultilevel"/>
    <w:tmpl w:val="4694F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1F4"/>
    <w:rsid w:val="00007D35"/>
    <w:rsid w:val="00061332"/>
    <w:rsid w:val="001063F8"/>
    <w:rsid w:val="00132FEC"/>
    <w:rsid w:val="00135E4A"/>
    <w:rsid w:val="00195D10"/>
    <w:rsid w:val="00276604"/>
    <w:rsid w:val="002E4DE5"/>
    <w:rsid w:val="003A0216"/>
    <w:rsid w:val="003D449F"/>
    <w:rsid w:val="00427811"/>
    <w:rsid w:val="00516C72"/>
    <w:rsid w:val="00532B84"/>
    <w:rsid w:val="00590DA0"/>
    <w:rsid w:val="00652C06"/>
    <w:rsid w:val="0068162C"/>
    <w:rsid w:val="0075311A"/>
    <w:rsid w:val="007969B4"/>
    <w:rsid w:val="007D0298"/>
    <w:rsid w:val="007F471F"/>
    <w:rsid w:val="00831AFA"/>
    <w:rsid w:val="00877E16"/>
    <w:rsid w:val="008C56AC"/>
    <w:rsid w:val="00916E4F"/>
    <w:rsid w:val="009F5083"/>
    <w:rsid w:val="00A152A6"/>
    <w:rsid w:val="00A22A56"/>
    <w:rsid w:val="00A74C57"/>
    <w:rsid w:val="00A96BF6"/>
    <w:rsid w:val="00AA71F4"/>
    <w:rsid w:val="00AD4F64"/>
    <w:rsid w:val="00B06579"/>
    <w:rsid w:val="00B44BBD"/>
    <w:rsid w:val="00BA7A96"/>
    <w:rsid w:val="00BA7C04"/>
    <w:rsid w:val="00C14C62"/>
    <w:rsid w:val="00C831EE"/>
    <w:rsid w:val="00C839A0"/>
    <w:rsid w:val="00C9001C"/>
    <w:rsid w:val="00D525A5"/>
    <w:rsid w:val="00D608AE"/>
    <w:rsid w:val="00D92A72"/>
    <w:rsid w:val="00DA3CC1"/>
    <w:rsid w:val="00E350CD"/>
    <w:rsid w:val="00E41A2A"/>
    <w:rsid w:val="00FA0DBD"/>
    <w:rsid w:val="00FD644F"/>
    <w:rsid w:val="00FE47F6"/>
    <w:rsid w:val="00FF17D4"/>
    <w:rsid w:val="00FF2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28A27"/>
  <w15:docId w15:val="{EF1447D6-3BE2-4E7B-810E-7F1DC5512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47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D4F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Trundy</dc:creator>
  <cp:lastModifiedBy>Howard, Angela D</cp:lastModifiedBy>
  <cp:revision>3</cp:revision>
  <cp:lastPrinted>2012-09-11T16:36:00Z</cp:lastPrinted>
  <dcterms:created xsi:type="dcterms:W3CDTF">2018-02-16T17:02:00Z</dcterms:created>
  <dcterms:modified xsi:type="dcterms:W3CDTF">2018-02-16T17:09:00Z</dcterms:modified>
</cp:coreProperties>
</file>