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4709" w14:textId="77777777" w:rsidR="00A142E1" w:rsidRPr="00A142E1" w:rsidRDefault="00A142E1" w:rsidP="00A142E1">
      <w:pPr>
        <w:shd w:val="clear" w:color="auto" w:fill="FFFFFF"/>
        <w:spacing w:before="150" w:after="150" w:line="240" w:lineRule="auto"/>
        <w:outlineLvl w:val="3"/>
        <w:rPr>
          <w:rFonts w:ascii="Open Sans" w:eastAsia="Times New Roman" w:hAnsi="Open Sans" w:cs="Open Sans"/>
          <w:b/>
          <w:bCs/>
          <w:color w:val="333333"/>
          <w:sz w:val="21"/>
          <w:szCs w:val="21"/>
        </w:rPr>
      </w:pPr>
      <w:r w:rsidRPr="00A142E1">
        <w:rPr>
          <w:rFonts w:ascii="Open Sans" w:eastAsia="Times New Roman" w:hAnsi="Open Sans" w:cs="Open Sans"/>
          <w:b/>
          <w:bCs/>
          <w:color w:val="333333"/>
          <w:sz w:val="21"/>
          <w:szCs w:val="21"/>
        </w:rPr>
        <w:t>Vanderbilt Human Research Protection Program</w:t>
      </w:r>
      <w:r w:rsidRPr="00A142E1">
        <w:rPr>
          <w:rFonts w:ascii="Open Sans" w:eastAsia="Times New Roman" w:hAnsi="Open Sans" w:cs="Open Sans"/>
          <w:b/>
          <w:bCs/>
          <w:color w:val="333333"/>
          <w:sz w:val="21"/>
          <w:szCs w:val="21"/>
        </w:rPr>
        <w:br/>
        <w:t>Institutional Biosafety Committee-Human Subjects</w:t>
      </w:r>
      <w:r w:rsidRPr="00A142E1">
        <w:rPr>
          <w:rFonts w:ascii="Open Sans" w:eastAsia="Times New Roman" w:hAnsi="Open Sans" w:cs="Open Sans"/>
          <w:b/>
          <w:bCs/>
          <w:color w:val="333333"/>
          <w:sz w:val="21"/>
          <w:szCs w:val="21"/>
        </w:rPr>
        <w:br/>
        <w:t>NIH Registration Number TN00040</w:t>
      </w:r>
    </w:p>
    <w:p w14:paraId="2426E742"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The IBC-HS Committee meets the third Friday of the month from 8:30 to 10:30 am. Meeting locations are subject to change. Please call the VHRPP office to confirm meeting location (322-2918).</w:t>
      </w:r>
    </w:p>
    <w:p w14:paraId="0382914B"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Effective – July 1, 2021</w:t>
      </w:r>
    </w:p>
    <w:p w14:paraId="430C9435"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b/>
          <w:bCs/>
          <w:color w:val="333333"/>
          <w:sz w:val="24"/>
          <w:szCs w:val="24"/>
        </w:rPr>
        <w:t>VOTING MEMBERS (10)</w:t>
      </w:r>
    </w:p>
    <w:p w14:paraId="549E844D" w14:textId="76668FA2"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 xml:space="preserve">Antonis Hatzopoulos, PhD </w:t>
      </w:r>
      <w:r>
        <w:rPr>
          <w:rFonts w:ascii="Open Sans" w:eastAsia="Times New Roman" w:hAnsi="Open Sans" w:cs="Open Sans"/>
          <w:color w:val="333333"/>
          <w:sz w:val="24"/>
          <w:szCs w:val="24"/>
        </w:rPr>
        <w:t>–</w:t>
      </w:r>
      <w:r w:rsidRPr="00A142E1">
        <w:rPr>
          <w:rFonts w:ascii="Open Sans" w:eastAsia="Times New Roman" w:hAnsi="Open Sans" w:cs="Open Sans"/>
          <w:color w:val="333333"/>
          <w:sz w:val="24"/>
          <w:szCs w:val="24"/>
        </w:rPr>
        <w:t xml:space="preserve"> Chair</w:t>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Cell and Developmental Biology</w:t>
      </w:r>
    </w:p>
    <w:p w14:paraId="60467003" w14:textId="60108FB9"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Allison Wheeler, MD - Vice-Chair</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Pulmonary/Critical Care</w:t>
      </w:r>
    </w:p>
    <w:p w14:paraId="09440E77" w14:textId="7007388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Jonathan Lehman, MD, PhD</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Hematology/Oncology</w:t>
      </w:r>
    </w:p>
    <w:p w14:paraId="12EBA9E0" w14:textId="1814C646"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Douglas Johnson, MD</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Hematology/Oncology</w:t>
      </w:r>
    </w:p>
    <w:p w14:paraId="75E0A427" w14:textId="6941B049"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Lori Rolando, MD, MPH</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 xml:space="preserve">Occupational </w:t>
      </w:r>
      <w:proofErr w:type="gramStart"/>
      <w:r w:rsidRPr="00A142E1">
        <w:rPr>
          <w:rFonts w:ascii="Open Sans" w:eastAsia="Times New Roman" w:hAnsi="Open Sans" w:cs="Open Sans"/>
          <w:color w:val="333333"/>
          <w:sz w:val="24"/>
          <w:szCs w:val="24"/>
        </w:rPr>
        <w:t>Health</w:t>
      </w:r>
      <w:proofErr w:type="gramEnd"/>
      <w:r w:rsidRPr="00A142E1">
        <w:rPr>
          <w:rFonts w:ascii="Open Sans" w:eastAsia="Times New Roman" w:hAnsi="Open Sans" w:cs="Open Sans"/>
          <w:color w:val="333333"/>
          <w:sz w:val="24"/>
          <w:szCs w:val="24"/>
        </w:rPr>
        <w:t xml:space="preserve"> and Safety</w:t>
      </w:r>
    </w:p>
    <w:p w14:paraId="46066BB2" w14:textId="35CBDF48"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Richard DiTullio, PhD</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Biological Safety Officer Representative</w:t>
      </w:r>
    </w:p>
    <w:p w14:paraId="7F5E6B7E" w14:textId="6D000BA6"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Donna Torr, PharmD</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Investigational Drug Service</w:t>
      </w:r>
    </w:p>
    <w:p w14:paraId="644ECD30" w14:textId="26ECFF04"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Kimberly Towers, BA</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Community Member</w:t>
      </w:r>
    </w:p>
    <w:p w14:paraId="5097DBB2" w14:textId="3B8EDE38"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Rolinda Bailey, MT(ASCP)</w:t>
      </w:r>
      <w:r>
        <w:rPr>
          <w:rFonts w:ascii="Open Sans" w:eastAsia="Times New Roman" w:hAnsi="Open Sans" w:cs="Open Sans"/>
          <w:color w:val="333333"/>
          <w:sz w:val="24"/>
          <w:szCs w:val="24"/>
        </w:rPr>
        <w:t xml:space="preserve"> </w:t>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Pr>
          <w:rFonts w:ascii="Open Sans" w:eastAsia="Times New Roman" w:hAnsi="Open Sans" w:cs="Open Sans"/>
          <w:color w:val="333333"/>
          <w:sz w:val="24"/>
          <w:szCs w:val="24"/>
        </w:rPr>
        <w:tab/>
      </w:r>
      <w:r w:rsidRPr="00A142E1">
        <w:rPr>
          <w:rFonts w:ascii="Open Sans" w:eastAsia="Times New Roman" w:hAnsi="Open Sans" w:cs="Open Sans"/>
          <w:color w:val="333333"/>
          <w:sz w:val="24"/>
          <w:szCs w:val="24"/>
        </w:rPr>
        <w:t>Community Member/Tennessee Department of Health</w:t>
      </w:r>
    </w:p>
    <w:p w14:paraId="6CD4211D"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 </w:t>
      </w:r>
    </w:p>
    <w:p w14:paraId="2107537E"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ALTERNATE MEMBERS</w:t>
      </w:r>
      <w:r w:rsidRPr="00A142E1">
        <w:rPr>
          <w:rFonts w:ascii="Open Sans" w:eastAsia="Times New Roman" w:hAnsi="Open Sans" w:cs="Open Sans"/>
          <w:color w:val="333333"/>
          <w:sz w:val="24"/>
          <w:szCs w:val="24"/>
        </w:rPr>
        <w:br/>
        <w:t>Ray Peebles, MD Pathology/Pediatric Oncology</w:t>
      </w:r>
    </w:p>
    <w:p w14:paraId="311AC94A"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 xml:space="preserve">Carrie </w:t>
      </w:r>
      <w:proofErr w:type="spellStart"/>
      <w:r w:rsidRPr="00A142E1">
        <w:rPr>
          <w:rFonts w:ascii="Open Sans" w:eastAsia="Times New Roman" w:hAnsi="Open Sans" w:cs="Open Sans"/>
          <w:color w:val="333333"/>
          <w:sz w:val="24"/>
          <w:szCs w:val="24"/>
        </w:rPr>
        <w:t>Kitko</w:t>
      </w:r>
      <w:proofErr w:type="spellEnd"/>
      <w:r w:rsidRPr="00A142E1">
        <w:rPr>
          <w:rFonts w:ascii="Open Sans" w:eastAsia="Times New Roman" w:hAnsi="Open Sans" w:cs="Open Sans"/>
          <w:color w:val="333333"/>
          <w:sz w:val="24"/>
          <w:szCs w:val="24"/>
        </w:rPr>
        <w:t>, MD Pediatric Stem Cell Transplantation</w:t>
      </w:r>
    </w:p>
    <w:p w14:paraId="6BA8DE6B"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Jennifer Bounds, Community Member</w:t>
      </w:r>
    </w:p>
    <w:p w14:paraId="48699419" w14:textId="77777777"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Brenton Harrison, Community Member</w:t>
      </w:r>
    </w:p>
    <w:p w14:paraId="5F739A73" w14:textId="77777777" w:rsidR="00A142E1" w:rsidRDefault="00A142E1" w:rsidP="00A142E1">
      <w:pPr>
        <w:shd w:val="clear" w:color="auto" w:fill="FFFFFF"/>
        <w:spacing w:after="225" w:line="240" w:lineRule="auto"/>
        <w:rPr>
          <w:rFonts w:ascii="Open Sans" w:eastAsia="Times New Roman" w:hAnsi="Open Sans" w:cs="Open Sans"/>
          <w:color w:val="333333"/>
          <w:sz w:val="24"/>
          <w:szCs w:val="24"/>
        </w:rPr>
      </w:pPr>
    </w:p>
    <w:p w14:paraId="15636C36" w14:textId="57A13B7A" w:rsidR="00A142E1" w:rsidRPr="00A142E1" w:rsidRDefault="00A142E1" w:rsidP="00A142E1">
      <w:pPr>
        <w:shd w:val="clear" w:color="auto" w:fill="FFFFFF"/>
        <w:spacing w:after="225" w:line="240" w:lineRule="auto"/>
        <w:rPr>
          <w:rFonts w:ascii="Open Sans" w:eastAsia="Times New Roman" w:hAnsi="Open Sans" w:cs="Open Sans"/>
          <w:color w:val="333333"/>
          <w:sz w:val="24"/>
          <w:szCs w:val="24"/>
        </w:rPr>
      </w:pPr>
      <w:r w:rsidRPr="00A142E1">
        <w:rPr>
          <w:rFonts w:ascii="Open Sans" w:eastAsia="Times New Roman" w:hAnsi="Open Sans" w:cs="Open Sans"/>
          <w:color w:val="333333"/>
          <w:sz w:val="24"/>
          <w:szCs w:val="24"/>
        </w:rPr>
        <w:t xml:space="preserve">Vanderbilt’s Institutional Biosafety Committee-Human Subjects (IBC-HS) is authorized by the National Institutes of Health (NIH) to approve research projects involving the use of recombinant DNA and synthetic nucleotide research involving humans. Use the IBC application that is embedded in the IRB application and guidelines to submit proposals to the IBC-HS. If you need help in completing and IBC-HS application, contact the IRB to have </w:t>
      </w:r>
      <w:proofErr w:type="gramStart"/>
      <w:r w:rsidRPr="00A142E1">
        <w:rPr>
          <w:rFonts w:ascii="Open Sans" w:eastAsia="Times New Roman" w:hAnsi="Open Sans" w:cs="Open Sans"/>
          <w:color w:val="333333"/>
          <w:sz w:val="24"/>
          <w:szCs w:val="24"/>
        </w:rPr>
        <w:t>the a</w:t>
      </w:r>
      <w:proofErr w:type="gramEnd"/>
      <w:r w:rsidRPr="00A142E1">
        <w:rPr>
          <w:rFonts w:ascii="Open Sans" w:eastAsia="Times New Roman" w:hAnsi="Open Sans" w:cs="Open Sans"/>
          <w:color w:val="333333"/>
          <w:sz w:val="24"/>
          <w:szCs w:val="24"/>
        </w:rPr>
        <w:t xml:space="preserve"> member of the IBC-HS team to assist you.</w:t>
      </w:r>
    </w:p>
    <w:p w14:paraId="42A98D45" w14:textId="77777777" w:rsidR="008809F1" w:rsidRDefault="008809F1"/>
    <w:sectPr w:rsidR="008809F1" w:rsidSect="00A142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E1"/>
    <w:rsid w:val="008809F1"/>
    <w:rsid w:val="00A1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C868"/>
  <w15:chartTrackingRefBased/>
  <w15:docId w15:val="{04969F63-EB2E-432D-9C81-83BA7691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142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42E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142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06014">
      <w:bodyDiv w:val="1"/>
      <w:marLeft w:val="0"/>
      <w:marRight w:val="0"/>
      <w:marTop w:val="0"/>
      <w:marBottom w:val="0"/>
      <w:divBdr>
        <w:top w:val="none" w:sz="0" w:space="0" w:color="auto"/>
        <w:left w:val="none" w:sz="0" w:space="0" w:color="auto"/>
        <w:bottom w:val="none" w:sz="0" w:space="0" w:color="auto"/>
        <w:right w:val="none" w:sz="0" w:space="0" w:color="auto"/>
      </w:divBdr>
      <w:divsChild>
        <w:div w:id="1099179235">
          <w:marLeft w:val="-300"/>
          <w:marRight w:val="-300"/>
          <w:marTop w:val="0"/>
          <w:marBottom w:val="0"/>
          <w:divBdr>
            <w:top w:val="none" w:sz="0" w:space="0" w:color="auto"/>
            <w:left w:val="none" w:sz="0" w:space="0" w:color="auto"/>
            <w:bottom w:val="none" w:sz="0" w:space="0" w:color="auto"/>
            <w:right w:val="none" w:sz="0" w:space="0" w:color="auto"/>
          </w:divBdr>
          <w:divsChild>
            <w:div w:id="623341711">
              <w:marLeft w:val="0"/>
              <w:marRight w:val="0"/>
              <w:marTop w:val="0"/>
              <w:marBottom w:val="0"/>
              <w:divBdr>
                <w:top w:val="none" w:sz="0" w:space="0" w:color="auto"/>
                <w:left w:val="none" w:sz="0" w:space="0" w:color="auto"/>
                <w:bottom w:val="none" w:sz="0" w:space="0" w:color="auto"/>
                <w:right w:val="none" w:sz="0" w:space="0" w:color="auto"/>
              </w:divBdr>
            </w:div>
            <w:div w:id="11866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Straznicky, Kristin Leigh</dc:creator>
  <cp:keywords/>
  <dc:description/>
  <cp:lastModifiedBy>Straznicky, Kristin Leigh</cp:lastModifiedBy>
  <cp:revision>1</cp:revision>
  <dcterms:created xsi:type="dcterms:W3CDTF">2022-07-26T16:42:00Z</dcterms:created>
  <dcterms:modified xsi:type="dcterms:W3CDTF">2022-07-26T16:44:00Z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2022-07-26T16:42:06Z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b4c3264c-388e-42c4-be9d-a6908b69afd2</vt:lpwstr>
  </property>
  <property fmtid="{D5CDD505-2E9C-101B-9397-08002B2CF9AE}" pid="8" name="MSIP_Label_792c8cef-6f2b-4af1-b4ac-d815ff795cd6_ContentBits">
    <vt:lpwstr>0</vt:lpwstr>
  </property>
</Properties>
</file>