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01030" w14:textId="77777777" w:rsidR="0023605D" w:rsidRPr="00AD121B" w:rsidRDefault="0023605D" w:rsidP="0023605D">
      <w:pPr>
        <w:kinsoku w:val="0"/>
        <w:overflowPunct w:val="0"/>
        <w:autoSpaceDE w:val="0"/>
        <w:autoSpaceDN w:val="0"/>
        <w:adjustRightInd w:val="0"/>
        <w:spacing w:after="0" w:line="335" w:lineRule="exact"/>
        <w:jc w:val="center"/>
        <w:rPr>
          <w:rFonts w:ascii="Arial" w:hAnsi="Arial" w:cs="Arial"/>
          <w:b/>
          <w:bCs/>
          <w:spacing w:val="-2"/>
          <w:kern w:val="0"/>
          <w:sz w:val="30"/>
          <w:szCs w:val="30"/>
        </w:rPr>
      </w:pPr>
      <w:r w:rsidRPr="00AD121B">
        <w:rPr>
          <w:rFonts w:ascii="Arial" w:hAnsi="Arial" w:cs="Arial"/>
          <w:b/>
          <w:bCs/>
          <w:spacing w:val="-2"/>
          <w:kern w:val="0"/>
          <w:sz w:val="30"/>
          <w:szCs w:val="30"/>
        </w:rPr>
        <w:t>Minutes</w:t>
      </w:r>
    </w:p>
    <w:p w14:paraId="2809F85A" w14:textId="5E6C8228" w:rsidR="0023605D" w:rsidRPr="00AD121B" w:rsidRDefault="0023605D" w:rsidP="0023605D">
      <w:pPr>
        <w:kinsoku w:val="0"/>
        <w:overflowPunct w:val="0"/>
        <w:autoSpaceDE w:val="0"/>
        <w:autoSpaceDN w:val="0"/>
        <w:adjustRightInd w:val="0"/>
        <w:spacing w:before="17" w:after="0" w:line="283" w:lineRule="auto"/>
        <w:ind w:right="419"/>
        <w:jc w:val="center"/>
        <w:rPr>
          <w:rFonts w:ascii="Arial" w:hAnsi="Arial" w:cs="Arial"/>
          <w:b/>
          <w:bCs/>
          <w:kern w:val="0"/>
          <w:sz w:val="30"/>
          <w:szCs w:val="30"/>
        </w:rPr>
      </w:pPr>
      <w:r w:rsidRPr="00AD121B">
        <w:rPr>
          <w:rFonts w:ascii="Arial" w:hAnsi="Arial" w:cs="Arial"/>
          <w:b/>
          <w:bCs/>
          <w:kern w:val="0"/>
          <w:sz w:val="30"/>
          <w:szCs w:val="30"/>
        </w:rPr>
        <w:t xml:space="preserve">Institutional Review Board - Institutional Biosafety Committee for Human Subjects Meeting </w:t>
      </w:r>
      <w:r>
        <w:rPr>
          <w:rFonts w:ascii="Arial" w:hAnsi="Arial" w:cs="Arial"/>
          <w:b/>
          <w:bCs/>
          <w:kern w:val="0"/>
          <w:sz w:val="30"/>
          <w:szCs w:val="30"/>
        </w:rPr>
        <w:t>–</w:t>
      </w:r>
      <w:r w:rsidRPr="00AD121B">
        <w:rPr>
          <w:rFonts w:ascii="Arial" w:hAnsi="Arial" w:cs="Arial"/>
          <w:b/>
          <w:bCs/>
          <w:kern w:val="0"/>
          <w:sz w:val="30"/>
          <w:szCs w:val="30"/>
        </w:rPr>
        <w:t xml:space="preserve"> IBC</w:t>
      </w:r>
      <w:r>
        <w:rPr>
          <w:rFonts w:ascii="Arial" w:hAnsi="Arial" w:cs="Arial"/>
          <w:b/>
          <w:bCs/>
          <w:kern w:val="0"/>
          <w:sz w:val="30"/>
          <w:szCs w:val="30"/>
        </w:rPr>
        <w:t>-HS</w:t>
      </w:r>
    </w:p>
    <w:p w14:paraId="1E76CDBB" w14:textId="77777777" w:rsidR="0023605D" w:rsidRDefault="0023605D" w:rsidP="0023605D">
      <w:pPr>
        <w:pStyle w:val="NormalWeb"/>
        <w:shd w:val="clear" w:color="auto" w:fill="FFFFFF"/>
        <w:spacing w:before="0" w:beforeAutospacing="0" w:after="0" w:afterAutospacing="0"/>
        <w:rPr>
          <w:rStyle w:val="Strong"/>
          <w:rFonts w:ascii="Helvetica" w:hAnsi="Helvetica" w:cs="Helvetica"/>
          <w:color w:val="212529"/>
          <w:sz w:val="20"/>
          <w:szCs w:val="20"/>
        </w:rPr>
      </w:pPr>
    </w:p>
    <w:p w14:paraId="528F0289" w14:textId="03CA1320" w:rsidR="0023605D" w:rsidRPr="0023605D" w:rsidRDefault="0023605D" w:rsidP="0023605D">
      <w:pPr>
        <w:pStyle w:val="NormalWeb"/>
        <w:shd w:val="clear" w:color="auto" w:fill="FFFFFF"/>
        <w:spacing w:before="0" w:beforeAutospacing="0" w:after="0" w:afterAutospacing="0"/>
        <w:jc w:val="center"/>
        <w:rPr>
          <w:rStyle w:val="Strong"/>
          <w:rFonts w:ascii="Helvetica" w:hAnsi="Helvetica" w:cs="Helvetica"/>
          <w:color w:val="212529"/>
          <w:sz w:val="30"/>
          <w:szCs w:val="30"/>
        </w:rPr>
      </w:pPr>
      <w:r w:rsidRPr="0023605D">
        <w:rPr>
          <w:rStyle w:val="Strong"/>
          <w:rFonts w:ascii="Helvetica" w:hAnsi="Helvetica" w:cs="Helvetica"/>
          <w:color w:val="212529"/>
          <w:sz w:val="30"/>
          <w:szCs w:val="30"/>
        </w:rPr>
        <w:t xml:space="preserve">May </w:t>
      </w:r>
      <w:r>
        <w:rPr>
          <w:rStyle w:val="Strong"/>
          <w:rFonts w:ascii="Helvetica" w:hAnsi="Helvetica" w:cs="Helvetica"/>
          <w:color w:val="212529"/>
          <w:sz w:val="30"/>
          <w:szCs w:val="30"/>
        </w:rPr>
        <w:t>0</w:t>
      </w:r>
      <w:r w:rsidRPr="0023605D">
        <w:rPr>
          <w:rStyle w:val="Strong"/>
          <w:rFonts w:ascii="Helvetica" w:hAnsi="Helvetica" w:cs="Helvetica"/>
          <w:color w:val="212529"/>
          <w:sz w:val="30"/>
          <w:szCs w:val="30"/>
        </w:rPr>
        <w:t>1, 2026</w:t>
      </w:r>
    </w:p>
    <w:p w14:paraId="5024F911" w14:textId="77777777" w:rsidR="0023605D" w:rsidRDefault="0023605D" w:rsidP="0023605D">
      <w:pPr>
        <w:pStyle w:val="NormalWeb"/>
        <w:shd w:val="clear" w:color="auto" w:fill="FFFFFF"/>
        <w:spacing w:before="0" w:beforeAutospacing="0" w:after="0" w:afterAutospacing="0"/>
        <w:rPr>
          <w:rStyle w:val="Strong"/>
          <w:rFonts w:ascii="Helvetica" w:hAnsi="Helvetica" w:cs="Helvetica"/>
          <w:color w:val="212529"/>
          <w:sz w:val="20"/>
          <w:szCs w:val="20"/>
        </w:rPr>
      </w:pPr>
    </w:p>
    <w:p w14:paraId="1EA1BEBE" w14:textId="5361206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Location:</w:t>
      </w:r>
      <w:r>
        <w:rPr>
          <w:rFonts w:ascii="Helvetica" w:hAnsi="Helvetica" w:cs="Helvetica"/>
          <w:color w:val="212529"/>
          <w:sz w:val="20"/>
          <w:szCs w:val="20"/>
        </w:rPr>
        <w:t xml:space="preserve"> Virtual</w:t>
      </w:r>
    </w:p>
    <w:p w14:paraId="3E1F3AAB"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Total Voting Members 11; Quorum 6</w:t>
      </w:r>
    </w:p>
    <w:p w14:paraId="4F1A7C13"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Members Present:</w:t>
      </w:r>
      <w:r>
        <w:rPr>
          <w:rFonts w:ascii="Helvetica" w:hAnsi="Helvetica" w:cs="Helvetica"/>
          <w:color w:val="212529"/>
          <w:sz w:val="20"/>
          <w:szCs w:val="20"/>
        </w:rPr>
        <w:t xml:space="preserve"> Ana Nobis, MD, MPH (PS), Bipin Savani, M.D. (PS), Christopher Aiken, Ph.D. (OS), Donna Torr, PharmD (OS), Douglas Johnson, M.D., MSCI (PS), Kimberly Towers, BS (NS), Paul Blair, MD, MDS (PS), Rolinda Bailey, BSMT(ASCP) (NS)</w:t>
      </w:r>
    </w:p>
    <w:p w14:paraId="4616C975"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Members Absent:</w:t>
      </w:r>
      <w:r>
        <w:rPr>
          <w:rFonts w:ascii="Helvetica" w:hAnsi="Helvetica" w:cs="Helvetica"/>
          <w:color w:val="212529"/>
          <w:sz w:val="20"/>
          <w:szCs w:val="20"/>
        </w:rPr>
        <w:t xml:space="preserve"> Antonios Hatzopoulos, PhD (OS), Cary Fu, M.D. (PS), Richard DiTullio, PhD (OS)</w:t>
      </w:r>
    </w:p>
    <w:p w14:paraId="733B5E33"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 xml:space="preserve">Ex-Officio Members Present: </w:t>
      </w:r>
      <w:r>
        <w:rPr>
          <w:rFonts w:ascii="Helvetica" w:hAnsi="Helvetica" w:cs="Helvetica"/>
          <w:color w:val="212529"/>
          <w:sz w:val="20"/>
          <w:szCs w:val="20"/>
        </w:rPr>
        <w:t>None</w:t>
      </w:r>
    </w:p>
    <w:p w14:paraId="4799BC6B"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Administrative Staff Present:</w:t>
      </w:r>
      <w:r>
        <w:rPr>
          <w:rFonts w:ascii="Helvetica" w:hAnsi="Helvetica" w:cs="Helvetica"/>
          <w:color w:val="212529"/>
          <w:sz w:val="20"/>
          <w:szCs w:val="20"/>
        </w:rPr>
        <w:t xml:space="preserve"> James G Arrington, BA, CIP, Tiffany Alexander, MPH, BSN, RN, CIP</w:t>
      </w:r>
    </w:p>
    <w:p w14:paraId="6FDE324E"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 xml:space="preserve">Guests: </w:t>
      </w:r>
      <w:r>
        <w:rPr>
          <w:rFonts w:ascii="Helvetica" w:hAnsi="Helvetica" w:cs="Helvetica"/>
          <w:color w:val="212529"/>
          <w:sz w:val="20"/>
          <w:szCs w:val="20"/>
        </w:rPr>
        <w:t>None</w:t>
      </w:r>
    </w:p>
    <w:p w14:paraId="3A3CC795"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Meeting Called to Order: 8:32AM</w:t>
      </w:r>
    </w:p>
    <w:p w14:paraId="48C172AC"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Meeting Adjourned: 8:45AM</w:t>
      </w:r>
    </w:p>
    <w:p w14:paraId="40591EA1"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
    <w:p w14:paraId="35F8E0C7"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Announcements and Education</w:t>
      </w:r>
    </w:p>
    <w:p w14:paraId="27D4076A"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Thank you all for your willingness to meet ad hoc for this study. We have made some enhancements in our system to better identify these studies as they come in. We will review Minutes from last meeting plus these at the May 15th meeting.</w:t>
      </w:r>
    </w:p>
    <w:p w14:paraId="0C2D2E2D"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
    <w:p w14:paraId="3C511E75"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roofErr w:type="gramStart"/>
      <w:r>
        <w:rPr>
          <w:rStyle w:val="Strong"/>
          <w:rFonts w:ascii="Helvetica" w:hAnsi="Helvetica" w:cs="Helvetica"/>
          <w:color w:val="212529"/>
          <w:sz w:val="20"/>
          <w:szCs w:val="20"/>
        </w:rPr>
        <w:t>Reveal</w:t>
      </w:r>
      <w:proofErr w:type="gramEnd"/>
      <w:r>
        <w:rPr>
          <w:rStyle w:val="Strong"/>
          <w:rFonts w:ascii="Helvetica" w:hAnsi="Helvetica" w:cs="Helvetica"/>
          <w:color w:val="212529"/>
          <w:sz w:val="20"/>
          <w:szCs w:val="20"/>
        </w:rPr>
        <w:t xml:space="preserve"> Possible Conflicts of Interest</w:t>
      </w:r>
    </w:p>
    <w:p w14:paraId="0F0A4B7E"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251912: Cary Fu</w:t>
      </w:r>
    </w:p>
    <w:p w14:paraId="18FEE436"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
    <w:p w14:paraId="0585B161"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roofErr w:type="gramStart"/>
      <w:r>
        <w:rPr>
          <w:rStyle w:val="Strong"/>
          <w:rFonts w:ascii="Helvetica" w:hAnsi="Helvetica" w:cs="Helvetica"/>
          <w:color w:val="212529"/>
          <w:sz w:val="20"/>
          <w:szCs w:val="20"/>
        </w:rPr>
        <w:t>IRB#:</w:t>
      </w:r>
      <w:proofErr w:type="gramEnd"/>
      <w:r>
        <w:rPr>
          <w:rStyle w:val="Strong"/>
          <w:rFonts w:ascii="Helvetica" w:hAnsi="Helvetica" w:cs="Helvetica"/>
          <w:color w:val="212529"/>
          <w:sz w:val="20"/>
          <w:szCs w:val="20"/>
        </w:rPr>
        <w:t xml:space="preserve"> 251912</w:t>
      </w:r>
    </w:p>
    <w:p w14:paraId="74F28DD5" w14:textId="77777777" w:rsidR="0023605D" w:rsidRPr="00251656" w:rsidRDefault="0023605D" w:rsidP="0023605D">
      <w:pPr>
        <w:pStyle w:val="NormalWeb"/>
        <w:shd w:val="clear" w:color="auto" w:fill="FFFFFF"/>
        <w:spacing w:before="0" w:beforeAutospacing="0" w:after="0" w:afterAutospacing="0"/>
        <w:rPr>
          <w:rFonts w:ascii="Helvetica" w:hAnsi="Helvetica" w:cs="Helvetica"/>
          <w:b/>
          <w:color w:val="212529"/>
          <w:sz w:val="20"/>
          <w:szCs w:val="20"/>
        </w:rPr>
      </w:pPr>
      <w:r w:rsidRPr="00251656">
        <w:rPr>
          <w:rStyle w:val="Strong"/>
          <w:rFonts w:ascii="Helvetica" w:hAnsi="Helvetica" w:cs="Helvetica"/>
          <w:b w:val="0"/>
          <w:bCs w:val="0"/>
          <w:color w:val="212529"/>
          <w:sz w:val="20"/>
          <w:szCs w:val="20"/>
        </w:rPr>
        <w:t>A Phase 1/2/3 Open-label Study to Evaluate the Safety, Tolerability, Efficacy, Pharmacodynamics, and Pharmacokinetics of Intravenous RGX-202 Gene Therapy in Males with Duchenne Muscular Dystrophy (DMD)</w:t>
      </w:r>
    </w:p>
    <w:p w14:paraId="18381C0B"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PI: Jonathan Soslow, M.D.</w:t>
      </w:r>
    </w:p>
    <w:p w14:paraId="3B98889F"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Sponsor:</w:t>
      </w:r>
      <w:r>
        <w:rPr>
          <w:rFonts w:ascii="Helvetica" w:hAnsi="Helvetica" w:cs="Helvetica"/>
          <w:color w:val="212529"/>
          <w:sz w:val="20"/>
          <w:szCs w:val="20"/>
        </w:rPr>
        <w:t xml:space="preserve"> REGENXBIO Inc.</w:t>
      </w:r>
    </w:p>
    <w:p w14:paraId="65BDFF32"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 xml:space="preserve">Summary: </w:t>
      </w:r>
      <w:r>
        <w:rPr>
          <w:rFonts w:ascii="Helvetica" w:hAnsi="Helvetica" w:cs="Helvetica"/>
          <w:color w:val="212529"/>
          <w:sz w:val="20"/>
          <w:szCs w:val="20"/>
        </w:rPr>
        <w:t>The purpose of this study is to evaluate the safety and tolerability of RGX-202 administered as a single IV dose in ambulant males with DMD.</w:t>
      </w:r>
    </w:p>
    <w:p w14:paraId="61AE877A"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Comments:</w:t>
      </w:r>
    </w:p>
    <w:p w14:paraId="7F904AFA"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The Reviewers presented a summary and comments followed by discussion. A Reviewer stated this is a phase 1/2/3 open-label study to evaluate the safety, tolerability, efficacy, pharmacodynamics, and pharmacokinetics of intravenous RGX-202 gene therapy in males with Duchenne Muscular Dystrophy (DMD). The sponsor for the study is REGENXBIO Inc. The Principal Investigator (PI) at Vanderbilt University Medical Center (VUMC) is Jonathan Soslow, MD, Department of Pediatric Cardiology. All current key study personnel have the appropriate human subjects training to conduct the study.</w:t>
      </w:r>
    </w:p>
    <w:p w14:paraId="5D995C18"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
    <w:p w14:paraId="5F6EE78C"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 xml:space="preserve">Duchenne muscular dystrophy (DMD) is an X-linked developmental disorder diagnosed in early childhood that results in progressive muscular weakness, which can lead to early death. The disease affects predominantly males, with 1 in 5000 live male births worldwide. DMD is caused by mutations in the DMD gene, which code for the cytoskeletal protein, dystrophin, that provides structural stability to skeletal and </w:t>
      </w:r>
      <w:proofErr w:type="gramStart"/>
      <w:r>
        <w:rPr>
          <w:rFonts w:ascii="Helvetica" w:hAnsi="Helvetica" w:cs="Helvetica"/>
          <w:color w:val="212529"/>
          <w:sz w:val="20"/>
          <w:szCs w:val="20"/>
        </w:rPr>
        <w:t>cardiac muscle</w:t>
      </w:r>
      <w:proofErr w:type="gramEnd"/>
      <w:r>
        <w:rPr>
          <w:rFonts w:ascii="Helvetica" w:hAnsi="Helvetica" w:cs="Helvetica"/>
          <w:color w:val="212529"/>
          <w:sz w:val="20"/>
          <w:szCs w:val="20"/>
        </w:rPr>
        <w:t xml:space="preserve"> fibers via the dystrophin-associated protein complex (DAPC) on muscle cell membranes. The lack of functional dystrophin in patients with DMD gene mutations reduces muscle cells’ plasma membrane stability.</w:t>
      </w:r>
    </w:p>
    <w:p w14:paraId="3CB5D61A"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
    <w:p w14:paraId="26E38108" w14:textId="11A2099E"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 xml:space="preserve">RGX-202 is administered as a one-time intravenous (IV) infusion and dosed according to body weight. This, multicenter, uncontrolled, open-label, dose escalation and dose expansion study to evaluate the safety, tolerability, pharmacodynamics pharmacokinetics, and preliminary clinical efficacy of two dose </w:t>
      </w:r>
      <w:r>
        <w:rPr>
          <w:rFonts w:ascii="Helvetica" w:hAnsi="Helvetica" w:cs="Helvetica"/>
          <w:color w:val="212529"/>
          <w:sz w:val="20"/>
          <w:szCs w:val="20"/>
        </w:rPr>
        <w:lastRenderedPageBreak/>
        <w:t>levels of RGX-202 over 12 months when administered (IV) as a one-time dose to ambulant male pediatric patients with DMD. Part 2/3 will enroll ambulant, male pediatric participants with DMD aged one year and older who meet the eligibility criteria. All participants will receive a single IV infusion of RGX-202 at a dose of 2×1014 GC/kg. Vanderbilt University Medical Center will only be participating in PHASE 3 of the study. The Reviewer noted no specific biosafety concerns.</w:t>
      </w:r>
    </w:p>
    <w:p w14:paraId="00D9E4BB"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
    <w:p w14:paraId="42287EB9" w14:textId="0DDF4FE9"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 xml:space="preserve">Another Reviewer noted the study addresses an unmet clinical need. In the RGX-202 study, treatment with AAV8 is anticipated </w:t>
      </w:r>
    </w:p>
    <w:p w14:paraId="2692602B"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
    <w:p w14:paraId="02E5655F"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The Occupational Health Reviewer and Community Members had no concerns for discussion.</w:t>
      </w:r>
    </w:p>
    <w:p w14:paraId="356EB093"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
    <w:p w14:paraId="7278C0AF"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The Pharmacy Reviewer noted this study would technically fall under BSL-1 conditions, but per VUMC policy would be handled as BSL-2. The Biosafety Representative provided comment prior to the meeting in agreement.</w:t>
      </w:r>
    </w:p>
    <w:p w14:paraId="1D84DCC8"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
    <w:p w14:paraId="0D16AB04"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There were no biosafety issues for discussion and the Committee agreed to approve the study per the NIH Guidelines under BSL-2 conditions.</w:t>
      </w:r>
    </w:p>
    <w:p w14:paraId="39AB816F"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p>
    <w:p w14:paraId="03915605"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 xml:space="preserve">Motion: </w:t>
      </w:r>
      <w:r>
        <w:rPr>
          <w:rFonts w:ascii="Helvetica" w:hAnsi="Helvetica" w:cs="Helvetica"/>
          <w:color w:val="212529"/>
          <w:sz w:val="20"/>
          <w:szCs w:val="20"/>
        </w:rPr>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w:t>
      </w:r>
    </w:p>
    <w:p w14:paraId="799DB75C"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Total votes for Approve: 8</w:t>
      </w:r>
      <w:r>
        <w:rPr>
          <w:rFonts w:ascii="Helvetica" w:hAnsi="Helvetica" w:cs="Helvetica"/>
          <w:color w:val="212529"/>
          <w:sz w:val="20"/>
          <w:szCs w:val="20"/>
        </w:rPr>
        <w:t xml:space="preserve"> (Total Members Voting: 8)</w:t>
      </w:r>
    </w:p>
    <w:p w14:paraId="32903172"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For: 8 Against: 0 Abstained: 0</w:t>
      </w:r>
    </w:p>
    <w:p w14:paraId="60C5A0FA"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Abstained:</w:t>
      </w:r>
    </w:p>
    <w:p w14:paraId="18BD8A5D" w14:textId="77777777" w:rsidR="0023605D" w:rsidRDefault="0023605D" w:rsidP="0023605D">
      <w:pPr>
        <w:pStyle w:val="NormalWeb"/>
        <w:shd w:val="clear" w:color="auto" w:fill="FFFFFF"/>
        <w:spacing w:before="0" w:beforeAutospacing="0" w:after="0" w:afterAutospacing="0"/>
        <w:rPr>
          <w:rFonts w:ascii="Helvetica" w:hAnsi="Helvetica" w:cs="Helvetica"/>
          <w:color w:val="212529"/>
          <w:sz w:val="20"/>
          <w:szCs w:val="20"/>
        </w:rPr>
      </w:pPr>
      <w:r>
        <w:rPr>
          <w:rStyle w:val="Strong"/>
          <w:rFonts w:ascii="Helvetica" w:hAnsi="Helvetica" w:cs="Helvetica"/>
          <w:color w:val="212529"/>
          <w:sz w:val="20"/>
          <w:szCs w:val="20"/>
        </w:rPr>
        <w:t>Quorum Notes</w:t>
      </w:r>
    </w:p>
    <w:p w14:paraId="534EBE78" w14:textId="77777777" w:rsidR="00365E23" w:rsidRDefault="00365E23"/>
    <w:sectPr w:rsidR="00365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5D"/>
    <w:rsid w:val="00192766"/>
    <w:rsid w:val="0023605D"/>
    <w:rsid w:val="00251656"/>
    <w:rsid w:val="00365E23"/>
    <w:rsid w:val="00782E7C"/>
    <w:rsid w:val="007B4287"/>
    <w:rsid w:val="008F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95F3"/>
  <w15:chartTrackingRefBased/>
  <w15:docId w15:val="{0C77DD42-78EE-4B60-8BA1-5A8A34E0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05D"/>
    <w:rPr>
      <w:rFonts w:eastAsiaTheme="majorEastAsia" w:cstheme="majorBidi"/>
      <w:color w:val="272727" w:themeColor="text1" w:themeTint="D8"/>
    </w:rPr>
  </w:style>
  <w:style w:type="paragraph" w:styleId="Title">
    <w:name w:val="Title"/>
    <w:basedOn w:val="Normal"/>
    <w:next w:val="Normal"/>
    <w:link w:val="TitleChar"/>
    <w:uiPriority w:val="10"/>
    <w:qFormat/>
    <w:rsid w:val="00236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05D"/>
    <w:pPr>
      <w:spacing w:before="160"/>
      <w:jc w:val="center"/>
    </w:pPr>
    <w:rPr>
      <w:i/>
      <w:iCs/>
      <w:color w:val="404040" w:themeColor="text1" w:themeTint="BF"/>
    </w:rPr>
  </w:style>
  <w:style w:type="character" w:customStyle="1" w:styleId="QuoteChar">
    <w:name w:val="Quote Char"/>
    <w:basedOn w:val="DefaultParagraphFont"/>
    <w:link w:val="Quote"/>
    <w:uiPriority w:val="29"/>
    <w:rsid w:val="0023605D"/>
    <w:rPr>
      <w:i/>
      <w:iCs/>
      <w:color w:val="404040" w:themeColor="text1" w:themeTint="BF"/>
    </w:rPr>
  </w:style>
  <w:style w:type="paragraph" w:styleId="ListParagraph">
    <w:name w:val="List Paragraph"/>
    <w:basedOn w:val="Normal"/>
    <w:uiPriority w:val="34"/>
    <w:qFormat/>
    <w:rsid w:val="0023605D"/>
    <w:pPr>
      <w:ind w:left="720"/>
      <w:contextualSpacing/>
    </w:pPr>
  </w:style>
  <w:style w:type="character" w:styleId="IntenseEmphasis">
    <w:name w:val="Intense Emphasis"/>
    <w:basedOn w:val="DefaultParagraphFont"/>
    <w:uiPriority w:val="21"/>
    <w:qFormat/>
    <w:rsid w:val="0023605D"/>
    <w:rPr>
      <w:i/>
      <w:iCs/>
      <w:color w:val="0F4761" w:themeColor="accent1" w:themeShade="BF"/>
    </w:rPr>
  </w:style>
  <w:style w:type="paragraph" w:styleId="IntenseQuote">
    <w:name w:val="Intense Quote"/>
    <w:basedOn w:val="Normal"/>
    <w:next w:val="Normal"/>
    <w:link w:val="IntenseQuoteChar"/>
    <w:uiPriority w:val="30"/>
    <w:qFormat/>
    <w:rsid w:val="00236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05D"/>
    <w:rPr>
      <w:i/>
      <w:iCs/>
      <w:color w:val="0F4761" w:themeColor="accent1" w:themeShade="BF"/>
    </w:rPr>
  </w:style>
  <w:style w:type="character" w:styleId="IntenseReference">
    <w:name w:val="Intense Reference"/>
    <w:basedOn w:val="DefaultParagraphFont"/>
    <w:uiPriority w:val="32"/>
    <w:qFormat/>
    <w:rsid w:val="0023605D"/>
    <w:rPr>
      <w:b/>
      <w:bCs/>
      <w:smallCaps/>
      <w:color w:val="0F4761" w:themeColor="accent1" w:themeShade="BF"/>
      <w:spacing w:val="5"/>
    </w:rPr>
  </w:style>
  <w:style w:type="paragraph" w:styleId="NormalWeb">
    <w:name w:val="Normal (Web)"/>
    <w:basedOn w:val="Normal"/>
    <w:uiPriority w:val="99"/>
    <w:semiHidden/>
    <w:unhideWhenUsed/>
    <w:rsid w:val="0023605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3605D"/>
    <w:rPr>
      <w:b/>
      <w:bCs/>
    </w:rPr>
  </w:style>
  <w:style w:type="paragraph" w:styleId="Revision">
    <w:name w:val="Revision"/>
    <w:hidden/>
    <w:uiPriority w:val="99"/>
    <w:semiHidden/>
    <w:rsid w:val="008F3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3887</Characters>
  <Application>Microsoft Office Word</Application>
  <DocSecurity>0</DocSecurity>
  <Lines>32</Lines>
  <Paragraphs>9</Paragraphs>
  <ScaleCrop>false</ScaleCrop>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Tiffany</dc:creator>
  <cp:keywords/>
  <dc:description/>
  <cp:lastModifiedBy>Alexander, Tiffany</cp:lastModifiedBy>
  <cp:revision>2</cp:revision>
  <dcterms:created xsi:type="dcterms:W3CDTF">2026-05-26T17:47:00Z</dcterms:created>
  <dcterms:modified xsi:type="dcterms:W3CDTF">2026-05-26T17:47:00Z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2026-05-26T17:43:40Z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06177382-f48f-47d4-858e-8539125a4c17</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