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44FE" w14:textId="77777777" w:rsidR="00DB4AA3" w:rsidRPr="00DB4AA3" w:rsidRDefault="00DB4AA3" w:rsidP="00DB4AA3">
      <w:pPr>
        <w:jc w:val="center"/>
        <w:rPr>
          <w:b/>
          <w:bCs/>
          <w:sz w:val="36"/>
          <w:szCs w:val="36"/>
        </w:rPr>
      </w:pPr>
      <w:r w:rsidRPr="00DB4AA3">
        <w:rPr>
          <w:b/>
          <w:bCs/>
          <w:sz w:val="36"/>
          <w:szCs w:val="36"/>
        </w:rPr>
        <w:t>Minutes</w:t>
      </w:r>
    </w:p>
    <w:p w14:paraId="31ECE51A" w14:textId="3D4F33FA" w:rsidR="00DB4AA3" w:rsidRPr="00DB4AA3" w:rsidRDefault="00DB4AA3" w:rsidP="00C3716F">
      <w:pPr>
        <w:jc w:val="center"/>
        <w:rPr>
          <w:b/>
          <w:bCs/>
          <w:sz w:val="36"/>
          <w:szCs w:val="36"/>
        </w:rPr>
      </w:pPr>
      <w:r w:rsidRPr="00DB4AA3">
        <w:rPr>
          <w:b/>
          <w:bCs/>
          <w:sz w:val="36"/>
          <w:szCs w:val="36"/>
        </w:rPr>
        <w:t>Institutional Review Board - Institutional Biosafety Committee for</w:t>
      </w:r>
      <w:r w:rsidR="00C3716F">
        <w:rPr>
          <w:b/>
          <w:bCs/>
          <w:sz w:val="36"/>
          <w:szCs w:val="36"/>
        </w:rPr>
        <w:t xml:space="preserve"> </w:t>
      </w:r>
      <w:r w:rsidRPr="00DB4AA3">
        <w:rPr>
          <w:b/>
          <w:bCs/>
          <w:sz w:val="36"/>
          <w:szCs w:val="36"/>
        </w:rPr>
        <w:t>Human Subjects Meeting - IBC</w:t>
      </w:r>
    </w:p>
    <w:p w14:paraId="681DED5C" w14:textId="77777777" w:rsidR="00DB4AA3" w:rsidRPr="00DB4AA3" w:rsidRDefault="00DB4AA3" w:rsidP="00DB4AA3">
      <w:pPr>
        <w:jc w:val="center"/>
        <w:rPr>
          <w:b/>
          <w:bCs/>
          <w:sz w:val="36"/>
          <w:szCs w:val="36"/>
        </w:rPr>
      </w:pPr>
      <w:r w:rsidRPr="00DB4AA3">
        <w:rPr>
          <w:b/>
          <w:bCs/>
          <w:sz w:val="36"/>
          <w:szCs w:val="36"/>
        </w:rPr>
        <w:t>March 20, 2026</w:t>
      </w:r>
    </w:p>
    <w:p w14:paraId="5F27D73C" w14:textId="77777777" w:rsidR="00DB4AA3" w:rsidRDefault="00DB4AA3" w:rsidP="00DB4AA3">
      <w:r>
        <w:t>Location: Virtual</w:t>
      </w:r>
    </w:p>
    <w:p w14:paraId="1678F975" w14:textId="45EB865E" w:rsidR="00DB4AA3" w:rsidRDefault="00DB4AA3" w:rsidP="00DB4AA3">
      <w:r>
        <w:t>Total Voting Members 1</w:t>
      </w:r>
      <w:r w:rsidR="004F4818">
        <w:t>1</w:t>
      </w:r>
      <w:r>
        <w:t>; Quorum 6</w:t>
      </w:r>
    </w:p>
    <w:p w14:paraId="1092D33D" w14:textId="3795CF18" w:rsidR="00DB4AA3" w:rsidRDefault="00DB4AA3" w:rsidP="00DB4AA3">
      <w:r>
        <w:t>Members Present: Ana Nobis, MD, MPH (PS), Christopher Aiken, Ph.D. (OS), Donna Torr, PharmD (OS),</w:t>
      </w:r>
      <w:r w:rsidR="00807BC9">
        <w:t xml:space="preserve"> </w:t>
      </w:r>
      <w:r>
        <w:t>Douglas Johnson, M.D., MSCI (PS), Kimberly Towers, BS (NS), Paul Blair, MD, MDS (PS), Richard DiTullio,</w:t>
      </w:r>
      <w:r w:rsidR="00807BC9">
        <w:t xml:space="preserve"> </w:t>
      </w:r>
      <w:r>
        <w:t>PhD (OS), Rolinda Bailey, BSMT(ASCP) (NS), Jennifer Gaddy, PhD (OS)</w:t>
      </w:r>
    </w:p>
    <w:p w14:paraId="6BBE8959" w14:textId="77777777" w:rsidR="00DB4AA3" w:rsidRDefault="00DB4AA3" w:rsidP="00DB4AA3">
      <w:r>
        <w:t>Members Absent: Antonios Hatzopoulos, PhD (OS), Bipin Savani, M.D. (PS), Cary Fu, M.D. (PS)</w:t>
      </w:r>
    </w:p>
    <w:p w14:paraId="07A81266" w14:textId="77777777" w:rsidR="00DB4AA3" w:rsidRDefault="00DB4AA3" w:rsidP="00DB4AA3">
      <w:r>
        <w:t>Ex-Officio Members Present: None</w:t>
      </w:r>
    </w:p>
    <w:p w14:paraId="55D6784B" w14:textId="77777777" w:rsidR="00DB4AA3" w:rsidRDefault="00DB4AA3" w:rsidP="00DB4AA3">
      <w:r>
        <w:t>Administrative Staff Present: James Arrington, BA, CIP, Tiffany Alexander, MPH, BSN, RN, CIP</w:t>
      </w:r>
    </w:p>
    <w:p w14:paraId="1FD1B9A7" w14:textId="77777777" w:rsidR="00DB4AA3" w:rsidRDefault="00DB4AA3" w:rsidP="00DB4AA3">
      <w:r>
        <w:t>Guests: Elvis Thai, Pharmacy Student observing with Dr. Torr</w:t>
      </w:r>
    </w:p>
    <w:p w14:paraId="4BCBFE6E" w14:textId="77777777" w:rsidR="00DB4AA3" w:rsidRDefault="00DB4AA3" w:rsidP="00DB4AA3">
      <w:r>
        <w:t>Meeting Called to Order: 8:31AM</w:t>
      </w:r>
    </w:p>
    <w:p w14:paraId="6BEC95BA" w14:textId="77777777" w:rsidR="00DB4AA3" w:rsidRDefault="00DB4AA3" w:rsidP="00DB4AA3">
      <w:r>
        <w:t>Meeting Adjourned: 9:09AM</w:t>
      </w:r>
    </w:p>
    <w:p w14:paraId="6E39039E" w14:textId="77777777" w:rsidR="00DB4AA3" w:rsidRDefault="00DB4AA3" w:rsidP="00DB4AA3">
      <w:r>
        <w:t>Announcements and Education</w:t>
      </w:r>
    </w:p>
    <w:p w14:paraId="4658EE20" w14:textId="248AEF3E" w:rsidR="00DB4AA3" w:rsidRDefault="00DB4AA3" w:rsidP="00DB4AA3">
      <w:r>
        <w:t>Happy March everyone! Spring Break is upon us. Thanks to Dr. Gaddy for joining us to assist, we appreciate</w:t>
      </w:r>
      <w:r>
        <w:t xml:space="preserve"> </w:t>
      </w:r>
      <w:r>
        <w:t>you! Drs. Hatzopoulos, Fu and Savani are out this month.</w:t>
      </w:r>
    </w:p>
    <w:p w14:paraId="5CB420EF" w14:textId="77777777" w:rsidR="00DB4AA3" w:rsidRDefault="00DB4AA3" w:rsidP="00DB4AA3">
      <w:r>
        <w:t>Reveal Possible Conflicts of Interest</w:t>
      </w:r>
    </w:p>
    <w:p w14:paraId="05604C77" w14:textId="77777777" w:rsidR="00DB4AA3" w:rsidRDefault="00DB4AA3" w:rsidP="00DB4AA3">
      <w:r>
        <w:t>260118 - Dr. Fu</w:t>
      </w:r>
    </w:p>
    <w:p w14:paraId="4D297D6F" w14:textId="77777777" w:rsidR="00DB4AA3" w:rsidRDefault="00DB4AA3" w:rsidP="00DB4AA3"/>
    <w:p w14:paraId="5A622A53" w14:textId="0108E443" w:rsidR="00DB4AA3" w:rsidRDefault="00DB4AA3" w:rsidP="00DB4AA3">
      <w:r>
        <w:t>Review and Approval of the Previous Minutes and Review of Approvals by the Chair</w:t>
      </w:r>
    </w:p>
    <w:p w14:paraId="7CA905C9" w14:textId="513DE02D" w:rsidR="00DB4AA3" w:rsidRDefault="00DB4AA3" w:rsidP="00DB4AA3">
      <w:r>
        <w:t>The Chair polled the committee for corrections to the minutes for the meeting dated 02/20/2026. No changes</w:t>
      </w:r>
      <w:r>
        <w:t xml:space="preserve"> </w:t>
      </w:r>
      <w:r>
        <w:t>were provided. The minutes were approved as written.</w:t>
      </w:r>
    </w:p>
    <w:p w14:paraId="7B4FDA58" w14:textId="77777777" w:rsidR="00DB4AA3" w:rsidRPr="003D0DCC" w:rsidRDefault="00DB4AA3" w:rsidP="00DB4AA3">
      <w:pPr>
        <w:rPr>
          <w:b/>
          <w:bCs/>
        </w:rPr>
      </w:pPr>
      <w:r w:rsidRPr="003D0DCC">
        <w:rPr>
          <w:b/>
          <w:bCs/>
        </w:rPr>
        <w:lastRenderedPageBreak/>
        <w:t>IRB#: 260118</w:t>
      </w:r>
    </w:p>
    <w:p w14:paraId="58CCD5CF" w14:textId="7905A32C" w:rsidR="00DB4AA3" w:rsidRDefault="00DB4AA3" w:rsidP="00DB4AA3">
      <w:r>
        <w:t>REVEAL 101 Study: An Open-label, Dose-escalation and Dose-expansion Study of the Safety and</w:t>
      </w:r>
      <w:r>
        <w:t xml:space="preserve"> </w:t>
      </w:r>
      <w:r>
        <w:t>Efficacy of a Single Intrathecal Administration of TSHA-102, an AAV9-Delivered Gene Therapy, in the</w:t>
      </w:r>
      <w:r>
        <w:t xml:space="preserve"> </w:t>
      </w:r>
      <w:r>
        <w:t>Treatment of Females with Rett Syndrome</w:t>
      </w:r>
    </w:p>
    <w:p w14:paraId="5904B45B" w14:textId="77777777" w:rsidR="00DB4AA3" w:rsidRDefault="00DB4AA3" w:rsidP="00DB4AA3">
      <w:r>
        <w:t>PI: Jeffrey Neul, PhD</w:t>
      </w:r>
    </w:p>
    <w:p w14:paraId="2487EDDD" w14:textId="77777777" w:rsidR="00DB4AA3" w:rsidRDefault="00DB4AA3" w:rsidP="00DB4AA3">
      <w:r>
        <w:t>Sponsor: Taysha Gene Therapies, Inc.</w:t>
      </w:r>
    </w:p>
    <w:p w14:paraId="3930FF4F" w14:textId="719FA1FD" w:rsidR="00DB4AA3" w:rsidRDefault="00DB4AA3" w:rsidP="00DB4AA3">
      <w:r>
        <w:t>Summary: The purpose of this study is to assess the safety and efficacy of TSHA-102 via lumbar intrathecal</w:t>
      </w:r>
      <w:r>
        <w:t xml:space="preserve"> </w:t>
      </w:r>
      <w:r>
        <w:t>(IT) administration for the treatment of Rett syndrome in females with a methyl-CpG–binding protein 2</w:t>
      </w:r>
      <w:r>
        <w:t xml:space="preserve"> </w:t>
      </w:r>
      <w:r>
        <w:t>(MECP2) loss-of-function gene mutation in methyl-CpG-binding domain (MBD) and/or transcriptional</w:t>
      </w:r>
      <w:r>
        <w:t xml:space="preserve"> </w:t>
      </w:r>
      <w:r>
        <w:t>repression domain (TRD).</w:t>
      </w:r>
    </w:p>
    <w:p w14:paraId="7056B96D" w14:textId="77777777" w:rsidR="00DB4AA3" w:rsidRDefault="00DB4AA3" w:rsidP="00DB4AA3">
      <w:r>
        <w:t>Comments:</w:t>
      </w:r>
    </w:p>
    <w:p w14:paraId="73F9A63C" w14:textId="77777777" w:rsidR="00DB4AA3" w:rsidRDefault="00DB4AA3" w:rsidP="00DB4AA3">
      <w:r>
        <w:t>The Reviewers presented a summary and comments followed by discussion. A Reviewer stated REVEAL 101</w:t>
      </w:r>
      <w:r>
        <w:t xml:space="preserve"> </w:t>
      </w:r>
      <w:r>
        <w:t>is an open-label, dose-escalation and dose-expansion study of the safety and efficacy of a single intrathecal</w:t>
      </w:r>
      <w:r>
        <w:t xml:space="preserve"> </w:t>
      </w:r>
      <w:r>
        <w:t>administration of TSHA-102, an AAV9-delivered gene therapy, in the treatment of Rett Syndrome in females</w:t>
      </w:r>
      <w:r>
        <w:t xml:space="preserve"> </w:t>
      </w:r>
      <w:r>
        <w:t>harboring methyl-CpG-binding protein 2 (MECP2) loss-of-function gene mutation in methyl-CpG-binding</w:t>
      </w:r>
      <w:r>
        <w:t xml:space="preserve"> </w:t>
      </w:r>
      <w:r>
        <w:t xml:space="preserve">domain (MBD) and/or transcriptional repression domain (TRD). </w:t>
      </w:r>
    </w:p>
    <w:p w14:paraId="5C520C11" w14:textId="06D3BE76" w:rsidR="00DB4AA3" w:rsidRDefault="00DB4AA3" w:rsidP="00DB4AA3">
      <w:r>
        <w:t>An Independent Data Monitoring Committee</w:t>
      </w:r>
      <w:r>
        <w:t xml:space="preserve"> </w:t>
      </w:r>
      <w:r>
        <w:t>Charter is included in the application materials.</w:t>
      </w:r>
      <w:r>
        <w:t xml:space="preserve"> </w:t>
      </w:r>
      <w:r>
        <w:t>Target enrollment for the study is 20 participants. The industry sponsor is Taysha Gene Therapies. The</w:t>
      </w:r>
      <w:r>
        <w:t xml:space="preserve"> </w:t>
      </w:r>
      <w:r>
        <w:t>Vanderbilt University Medical Center (VUMC) Principal Investigator is Neul, Jeffrey L, MD, PhD, Division of</w:t>
      </w:r>
      <w:r>
        <w:t xml:space="preserve"> </w:t>
      </w:r>
      <w:r>
        <w:t>Neurology,</w:t>
      </w:r>
      <w:r>
        <w:t xml:space="preserve"> </w:t>
      </w:r>
      <w:r>
        <w:t>Pharmacology, and Special Education. All current key study personnel have the</w:t>
      </w:r>
      <w:r>
        <w:t xml:space="preserve"> </w:t>
      </w:r>
      <w:r>
        <w:t>appropriate</w:t>
      </w:r>
      <w:r>
        <w:t xml:space="preserve"> </w:t>
      </w:r>
      <w:r>
        <w:t>human subjects training to conduct the study.</w:t>
      </w:r>
    </w:p>
    <w:p w14:paraId="4586B1BE" w14:textId="6C72EF21" w:rsidR="00DB4AA3" w:rsidRDefault="00DB4AA3" w:rsidP="00DB4AA3">
      <w:r>
        <w:t>Rett syndrome is a severe genetic neurodevelopmental disorder caused by loss-of-function mutations of the</w:t>
      </w:r>
      <w:r>
        <w:t xml:space="preserve"> </w:t>
      </w:r>
      <w:r>
        <w:t>MECP2 gene. Clinically children appear to have normal development until ages 1-4 when neurologic</w:t>
      </w:r>
      <w:r>
        <w:t xml:space="preserve"> </w:t>
      </w:r>
      <w:r>
        <w:t>development deteriorates. This leads to multi-system morbidity including respiratory, sleep, social, motor, and</w:t>
      </w:r>
      <w:r>
        <w:t xml:space="preserve"> </w:t>
      </w:r>
      <w:r>
        <w:t>cognitive effects. Diagnosis is typically at ages 30 to 36 months. The participant will</w:t>
      </w:r>
      <w:r>
        <w:t xml:space="preserve"> </w:t>
      </w:r>
      <w:r>
        <w:t>be on a steroid for four weeks followed by a taper for 10 weeks. The primary endpoint is receptive language</w:t>
      </w:r>
      <w:r>
        <w:t xml:space="preserve"> </w:t>
      </w:r>
      <w:r>
        <w:t>and expressive language domains scored by</w:t>
      </w:r>
      <w:r>
        <w:t xml:space="preserve"> </w:t>
      </w:r>
      <w:r>
        <w:t>independent blinded raters.</w:t>
      </w:r>
    </w:p>
    <w:p w14:paraId="4D77D23B" w14:textId="3527AE67" w:rsidR="00DB4AA3" w:rsidRDefault="00DB4AA3" w:rsidP="00DB4AA3">
      <w:r>
        <w:t>The Reviewer noted some IBC-HS considerations include: blood, saliva, urine and stool analyses performed</w:t>
      </w:r>
      <w:r>
        <w:t xml:space="preserve"> </w:t>
      </w:r>
      <w:r>
        <w:t>with prior evidence of vector shedding after infusion until DNA particles start to drop around week 10.</w:t>
      </w:r>
      <w:r>
        <w:t xml:space="preserve"> </w:t>
      </w:r>
      <w:r>
        <w:t>Caregivers are to use gloves until three consecutive negative tests. While this cannot replicate and infect</w:t>
      </w:r>
      <w:r>
        <w:t xml:space="preserve"> </w:t>
      </w:r>
      <w:r>
        <w:t xml:space="preserve">others it theoretically could affect a </w:t>
      </w:r>
      <w:r>
        <w:lastRenderedPageBreak/>
        <w:t>host if exposed. Therefore, hand hygiene is recommended to participants and caregivers. During counseling, if there is a</w:t>
      </w:r>
      <w:r>
        <w:t xml:space="preserve"> </w:t>
      </w:r>
      <w:r>
        <w:t>risk of a splash exposure to care givers, avoidance of exposure to mucus membranes should be considered</w:t>
      </w:r>
      <w:r>
        <w:t xml:space="preserve"> </w:t>
      </w:r>
      <w:r>
        <w:t>to mitigate risk but this is only hypothetical. If a caretaker is to be</w:t>
      </w:r>
      <w:r>
        <w:t xml:space="preserve"> </w:t>
      </w:r>
      <w:r>
        <w:t>caring for a child and is at risk of mucus</w:t>
      </w:r>
      <w:r>
        <w:t xml:space="preserve"> </w:t>
      </w:r>
      <w:r>
        <w:t>membrane exposure from body fluids (</w:t>
      </w:r>
      <w:proofErr w:type="spellStart"/>
      <w:r>
        <w:t>eg.</w:t>
      </w:r>
      <w:proofErr w:type="spellEnd"/>
      <w:r>
        <w:t xml:space="preserve"> urine), eye coverage and a mask would decrease risk of exposure</w:t>
      </w:r>
      <w:r>
        <w:t xml:space="preserve"> </w:t>
      </w:r>
      <w:r>
        <w:t>to intact viral particles though risks are likely negligible as DNA is unlikely to be enveloped based on a small</w:t>
      </w:r>
      <w:r>
        <w:t xml:space="preserve"> </w:t>
      </w:r>
      <w:r>
        <w:t xml:space="preserve">mouse study. There have not been documented </w:t>
      </w:r>
      <w:r>
        <w:t>household</w:t>
      </w:r>
      <w:r>
        <w:t xml:space="preserve"> transmission events with AAVs.</w:t>
      </w:r>
    </w:p>
    <w:p w14:paraId="7A133106" w14:textId="4E5A7691" w:rsidR="00DB4AA3" w:rsidRDefault="00DB4AA3" w:rsidP="00DB4AA3">
      <w:r>
        <w:t>Standard precautions are</w:t>
      </w:r>
      <w:r>
        <w:t xml:space="preserve"> </w:t>
      </w:r>
      <w:r>
        <w:t>recommended including standard hygiene practices as currently described. BSL-1 practices are to be</w:t>
      </w:r>
      <w:r>
        <w:t xml:space="preserve"> </w:t>
      </w:r>
      <w:r>
        <w:t>followed for material handling. The solution is sterile and made following cGMP guidelines. Inclusion criteria</w:t>
      </w:r>
    </w:p>
    <w:p w14:paraId="32AC36B5" w14:textId="09B25306" w:rsidR="00DB4AA3" w:rsidRDefault="00DB4AA3" w:rsidP="00DB4AA3">
      <w:r>
        <w:t>include female aged 12 to less than 22 years of age documented MECP2 loss-of-function mutation and</w:t>
      </w:r>
      <w:r>
        <w:t xml:space="preserve"> </w:t>
      </w:r>
      <w:r>
        <w:t>participants of childbearing potential much use an effective birth control and have a negative pregnancy test.</w:t>
      </w:r>
      <w:r>
        <w:t xml:space="preserve"> </w:t>
      </w:r>
      <w:r>
        <w:t>They will also refrain for life from blood, tissue, organ or cell donation.</w:t>
      </w:r>
    </w:p>
    <w:p w14:paraId="7F3238B5" w14:textId="725551F7" w:rsidR="00DB4AA3" w:rsidRDefault="00DB4AA3" w:rsidP="00DB4AA3">
      <w:r>
        <w:t>Another Reviewer noted, this study has two (2) parts, Part A and Part B. In Part A, 12 participants received</w:t>
      </w:r>
      <w:r>
        <w:t xml:space="preserve"> </w:t>
      </w:r>
      <w:r>
        <w:t>either a low or high dose of the TSHA-102. The IDMC then determined that the high dose is safe and working</w:t>
      </w:r>
      <w:r>
        <w:t xml:space="preserve"> </w:t>
      </w:r>
      <w:r>
        <w:t>well enough to continue with dosing in Part B. In Part B, up to 20 participants will be enrolled to test the</w:t>
      </w:r>
      <w:r>
        <w:t xml:space="preserve"> </w:t>
      </w:r>
      <w:r>
        <w:t>efficacy of the high dose. (Note: Any participants enrolled in this study after April 2025 will be enrolled in Part</w:t>
      </w:r>
      <w:r>
        <w:t xml:space="preserve"> </w:t>
      </w:r>
      <w:r>
        <w:t>B). Most of the follow up visits will assess parameters of Rett Syndrome, however,</w:t>
      </w:r>
      <w:r>
        <w:t xml:space="preserve"> </w:t>
      </w:r>
      <w:r>
        <w:t>additionally, saliva and urine samples will be collected to look for any parts of the viral vector to assess</w:t>
      </w:r>
      <w:r>
        <w:t xml:space="preserve"> </w:t>
      </w:r>
      <w:r>
        <w:t>shedding. These assessments will continue until there are 3 consecutive negative results in a row, as</w:t>
      </w:r>
      <w:r>
        <w:t xml:space="preserve"> </w:t>
      </w:r>
      <w:r>
        <w:t>determined below level of detection (BLOD) or below the limit of quantification (BLOQ). Additionally, the study</w:t>
      </w:r>
      <w:r>
        <w:t xml:space="preserve"> </w:t>
      </w:r>
      <w:r>
        <w:t>includes consent forms for autopsy in the event of participant death. The Reviewer noted no specific biosafety</w:t>
      </w:r>
      <w:r>
        <w:t xml:space="preserve"> </w:t>
      </w:r>
      <w:r>
        <w:t>concerns.</w:t>
      </w:r>
    </w:p>
    <w:p w14:paraId="285B35C9" w14:textId="72CC5EB2" w:rsidR="00DB4AA3" w:rsidRDefault="00DB4AA3" w:rsidP="00DB4AA3">
      <w:r>
        <w:t>The Pharmacy Reviewer noted doses of the IP will be prepared in a biosafety cabinet per VUMC standards</w:t>
      </w:r>
      <w:r>
        <w:t xml:space="preserve"> </w:t>
      </w:r>
      <w:r>
        <w:t>and will be handled as BSL-2. The Pharmacy Reviewer noted no biosafety concerns.</w:t>
      </w:r>
    </w:p>
    <w:p w14:paraId="668C22C2" w14:textId="18AE7D20" w:rsidR="00DB4AA3" w:rsidRDefault="00DB4AA3" w:rsidP="00DB4AA3">
      <w:r>
        <w:t xml:space="preserve">The Community Members noted initial trouble with reading one of the consent document pages but </w:t>
      </w:r>
      <w:r w:rsidR="002403B9">
        <w:t>were</w:t>
      </w:r>
      <w:r>
        <w:t xml:space="preserve"> able</w:t>
      </w:r>
      <w:r>
        <w:t xml:space="preserve"> </w:t>
      </w:r>
      <w:r>
        <w:t>to review it later. There were no additional comments for concern from the Community Members or the</w:t>
      </w:r>
      <w:r w:rsidR="002403B9">
        <w:t xml:space="preserve"> </w:t>
      </w:r>
      <w:r>
        <w:t>Occupational Health Reviewer.</w:t>
      </w:r>
    </w:p>
    <w:p w14:paraId="49556677" w14:textId="412ED6CF" w:rsidR="00DB4AA3" w:rsidRDefault="00DB4AA3" w:rsidP="00DB4AA3">
      <w:r>
        <w:t>The Biosafety Representative noted precautions under BSL-1 but VUMC would do BSL-2 due to the</w:t>
      </w:r>
      <w:r>
        <w:t xml:space="preserve"> </w:t>
      </w:r>
      <w:r>
        <w:t>Pharmacy preparations.</w:t>
      </w:r>
      <w:r>
        <w:t xml:space="preserve"> </w:t>
      </w:r>
      <w:r>
        <w:t xml:space="preserve">The Committee agreed there were no biosafety </w:t>
      </w:r>
      <w:r>
        <w:lastRenderedPageBreak/>
        <w:t>concerns of note and voted to approve the study per the NIH</w:t>
      </w:r>
      <w:r>
        <w:t xml:space="preserve"> </w:t>
      </w:r>
      <w:r>
        <w:t>Guidelines under BSL-2 conditions.</w:t>
      </w:r>
    </w:p>
    <w:p w14:paraId="3DE4D9D1" w14:textId="271D5593" w:rsidR="00DB4AA3" w:rsidRDefault="00DB4AA3" w:rsidP="00DB4AA3">
      <w:r>
        <w:t>Motion: The Committee found that the description of the agent, use, precautions, and risks are appropriately</w:t>
      </w:r>
      <w:r>
        <w:t xml:space="preserve"> </w:t>
      </w:r>
      <w:r>
        <w:t>described in the submitted documents including the consent document(s). The Committee found that the</w:t>
      </w:r>
      <w:r>
        <w:t xml:space="preserve"> </w:t>
      </w:r>
      <w:r>
        <w:t>requirements for protocol submission, review, and reporting per Section III-C and section III-C-1 NIH</w:t>
      </w:r>
      <w:r>
        <w:t xml:space="preserve"> </w:t>
      </w:r>
      <w:r>
        <w:t>Guidelines for Research Involving Recombinant or Synthetic Nucleic Acid Molecules have been met.</w:t>
      </w:r>
    </w:p>
    <w:p w14:paraId="0F8508B6" w14:textId="77777777" w:rsidR="00DB4AA3" w:rsidRDefault="00DB4AA3" w:rsidP="00DB4AA3">
      <w:r>
        <w:t>Approval was recommended.</w:t>
      </w:r>
    </w:p>
    <w:p w14:paraId="7DABE32A" w14:textId="77777777" w:rsidR="00DB4AA3" w:rsidRDefault="00DB4AA3" w:rsidP="00DB4AA3">
      <w:r>
        <w:t>Total votes for Approve: 9 (Total Members Voting: 9)</w:t>
      </w:r>
    </w:p>
    <w:p w14:paraId="4636B32D" w14:textId="77777777" w:rsidR="00DB4AA3" w:rsidRDefault="00DB4AA3" w:rsidP="00DB4AA3">
      <w:r>
        <w:t>For: 9 Against: 0 Abstained: 0</w:t>
      </w:r>
    </w:p>
    <w:p w14:paraId="3B8494FF" w14:textId="77777777" w:rsidR="00DB4AA3" w:rsidRDefault="00DB4AA3" w:rsidP="00DB4AA3">
      <w:r>
        <w:t>Abstained:</w:t>
      </w:r>
    </w:p>
    <w:p w14:paraId="6854D7B2" w14:textId="77777777" w:rsidR="00DB4AA3" w:rsidRDefault="00DB4AA3" w:rsidP="00DB4AA3">
      <w:r>
        <w:t>Quorum Notes</w:t>
      </w:r>
    </w:p>
    <w:p w14:paraId="680E2E73" w14:textId="77777777" w:rsidR="00DB4AA3" w:rsidRDefault="00DB4AA3" w:rsidP="00DB4AA3"/>
    <w:p w14:paraId="6D672E9B" w14:textId="77777777" w:rsidR="00DB4AA3" w:rsidRDefault="00DB4AA3" w:rsidP="00DB4AA3"/>
    <w:p w14:paraId="19E3B86F" w14:textId="77777777" w:rsidR="00DB4AA3" w:rsidRPr="00DB4AA3" w:rsidRDefault="00DB4AA3" w:rsidP="00DB4AA3">
      <w:pPr>
        <w:rPr>
          <w:b/>
          <w:bCs/>
        </w:rPr>
      </w:pPr>
      <w:r w:rsidRPr="00DB4AA3">
        <w:rPr>
          <w:b/>
          <w:bCs/>
        </w:rPr>
        <w:t>IRB#: 260102</w:t>
      </w:r>
    </w:p>
    <w:p w14:paraId="0C342AB5" w14:textId="3A5DB72E" w:rsidR="00DB4AA3" w:rsidRDefault="00DB4AA3" w:rsidP="00DB4AA3">
      <w:r>
        <w:t>VICCCTTP 25065 (KT-US-499-0150) A Phase 1/2 Open-Label, Multicenter Study Evaluating the Safety</w:t>
      </w:r>
      <w:r>
        <w:t xml:space="preserve"> </w:t>
      </w:r>
      <w:r>
        <w:t>and Efficacy of KITE-363 or KITE-753, Autologous Anti-CD19/CD20 CAR T-Cell Therapies, in Subjects</w:t>
      </w:r>
    </w:p>
    <w:p w14:paraId="4857092A" w14:textId="77777777" w:rsidR="00DB4AA3" w:rsidRDefault="00DB4AA3" w:rsidP="00DB4AA3">
      <w:r>
        <w:t>with Relapsed and/or Refractory B-Cell Lymphoma</w:t>
      </w:r>
    </w:p>
    <w:p w14:paraId="4E077EED" w14:textId="77777777" w:rsidR="00DB4AA3" w:rsidRDefault="00DB4AA3" w:rsidP="00DB4AA3">
      <w:r>
        <w:t>PI: Andrew Jallouk, MD</w:t>
      </w:r>
    </w:p>
    <w:p w14:paraId="109D2ECE" w14:textId="77777777" w:rsidR="00DB4AA3" w:rsidRDefault="00DB4AA3" w:rsidP="00DB4AA3">
      <w:r>
        <w:t>Sponsor: Kite Pharma, Inc.</w:t>
      </w:r>
    </w:p>
    <w:p w14:paraId="2133F1E2" w14:textId="783A801E" w:rsidR="00DB4AA3" w:rsidRDefault="00DB4AA3" w:rsidP="00DB4AA3">
      <w:r>
        <w:t>Summary: The purpose of this study is to find out if KITE-753, is safe and effective in treating patients with</w:t>
      </w:r>
      <w:r>
        <w:t xml:space="preserve"> </w:t>
      </w:r>
      <w:r>
        <w:t>relapsed and/or refractory B-cell lymphoma, frontline Large B-cell lymphoma, or relapsed and/or refractory</w:t>
      </w:r>
      <w:r>
        <w:t xml:space="preserve"> </w:t>
      </w:r>
      <w:r>
        <w:t>mantel cell lymphoma. Phase 1 will evaluate safety and determine most appropriate dose, while Phase 2 will</w:t>
      </w:r>
      <w:r>
        <w:t xml:space="preserve"> </w:t>
      </w:r>
      <w:r>
        <w:t>assess effectiveness and further assess safety.</w:t>
      </w:r>
    </w:p>
    <w:p w14:paraId="2168017D" w14:textId="77777777" w:rsidR="00DB4AA3" w:rsidRDefault="00DB4AA3" w:rsidP="00DB4AA3">
      <w:r>
        <w:t>Comments:</w:t>
      </w:r>
    </w:p>
    <w:p w14:paraId="6AB47034" w14:textId="7902EA1F" w:rsidR="002403B9" w:rsidRDefault="00DB4AA3" w:rsidP="00DB4AA3">
      <w:r>
        <w:t>The Reviewers presented a summary and comments followed by discussion. A Reviewer stated KITE-753 is</w:t>
      </w:r>
      <w:r>
        <w:t xml:space="preserve"> </w:t>
      </w:r>
      <w:r>
        <w:t>a Phase I open-label study evaluating safety and efficacy of KITE-363 or KITE-753 in patients with relapsed</w:t>
      </w:r>
      <w:r>
        <w:t xml:space="preserve"> </w:t>
      </w:r>
      <w:r>
        <w:t xml:space="preserve">or refractory B cell lymphoma. The study is Sponsored by </w:t>
      </w:r>
      <w:r>
        <w:lastRenderedPageBreak/>
        <w:t>Kite Pharma, Inc. The Principal Investigator at</w:t>
      </w:r>
      <w:r>
        <w:t xml:space="preserve"> </w:t>
      </w:r>
      <w:r>
        <w:t>Vanderbilt University Medical Center (VUMC) is Andrew Jallouk, MD, Department of Hematology/Oncology.</w:t>
      </w:r>
      <w:r>
        <w:t xml:space="preserve"> </w:t>
      </w:r>
      <w:r>
        <w:t>All current key study personnel have the appropriate human subjects training to conduct the study.</w:t>
      </w:r>
      <w:r>
        <w:t xml:space="preserve"> </w:t>
      </w:r>
    </w:p>
    <w:p w14:paraId="72734DAC" w14:textId="0ED237DA" w:rsidR="00DB4AA3" w:rsidRDefault="00DB4AA3" w:rsidP="00DB4AA3">
      <w:r>
        <w:t>The investigational product (IP) is a dual-receptor CAR-T cell product targeting both CD19 and CD20,</w:t>
      </w:r>
      <w:r>
        <w:t xml:space="preserve"> </w:t>
      </w:r>
      <w:r>
        <w:t>receptors on B cells. Trial</w:t>
      </w:r>
      <w:r>
        <w:t xml:space="preserve"> </w:t>
      </w:r>
      <w:r>
        <w:t xml:space="preserve">includes dose-escalation and dose-expansion cohorts for each study arm. </w:t>
      </w:r>
    </w:p>
    <w:p w14:paraId="184878F7" w14:textId="0A5C8B00" w:rsidR="00DB4AA3" w:rsidRDefault="00DB4AA3" w:rsidP="00DB4AA3">
      <w:r>
        <w:t>The Reviewer provided the table of events within the</w:t>
      </w:r>
      <w:r>
        <w:t xml:space="preserve"> </w:t>
      </w:r>
      <w:r>
        <w:t>study document for Committee review.</w:t>
      </w:r>
    </w:p>
    <w:p w14:paraId="405DC483" w14:textId="4D532D4B" w:rsidR="00DB4AA3" w:rsidRDefault="00DB4AA3" w:rsidP="00DB4AA3">
      <w:r>
        <w:t>CD19/20 dual targeted CAR-T have produced high response rates (70-100%) in different settings with</w:t>
      </w:r>
      <w:r>
        <w:t xml:space="preserve"> </w:t>
      </w:r>
      <w:r>
        <w:t>acceptable toxicities (similar rates of CRS and ICANS compared with CD19 targeted CARs. Phase 1a is dose</w:t>
      </w:r>
      <w:r>
        <w:t xml:space="preserve"> </w:t>
      </w:r>
      <w:r>
        <w:t>escalation of both agents, 3+3 design, up to 42 patients; phase 1b is dose expansion in several cohorts, up to</w:t>
      </w:r>
      <w:r>
        <w:t xml:space="preserve"> </w:t>
      </w:r>
      <w:r>
        <w:t>100 patients; phase 2 will be in 80 patients with LBCL refractory to 2 agents. Prior CAR-T allowed in phase</w:t>
      </w:r>
      <w:r>
        <w:t xml:space="preserve"> </w:t>
      </w:r>
      <w:r>
        <w:t>one but not phase two. Long term follow-up is well described, and include mandated CAR-T follow up.</w:t>
      </w:r>
    </w:p>
    <w:p w14:paraId="346D2721" w14:textId="70DE28EC" w:rsidR="00DB4AA3" w:rsidRDefault="00DB4AA3" w:rsidP="00DB4AA3">
      <w:r>
        <w:t>VHRPP staff</w:t>
      </w:r>
      <w:r>
        <w:t xml:space="preserve"> </w:t>
      </w:r>
      <w:r>
        <w:t>noted that only KITE-753 is being evaluated at this time and the IRB has completed an initial review with</w:t>
      </w:r>
      <w:r>
        <w:t xml:space="preserve"> </w:t>
      </w:r>
      <w:r>
        <w:t>requested changes from their recent meeting. There were no additional concerns.</w:t>
      </w:r>
    </w:p>
    <w:p w14:paraId="67975418" w14:textId="1AFC6B62" w:rsidR="00DB4AA3" w:rsidRDefault="00DB4AA3" w:rsidP="00DB4AA3">
      <w:r>
        <w:t>The Pharmacy Reviewer and Occupational Health Reviewer had no specific biosafety concerns and provided</w:t>
      </w:r>
      <w:r>
        <w:t xml:space="preserve"> </w:t>
      </w:r>
      <w:r>
        <w:t>standard precautions for the product and precautions. The Community Members had no comments for</w:t>
      </w:r>
      <w:r>
        <w:t xml:space="preserve"> </w:t>
      </w:r>
      <w:r>
        <w:t>discussion. The Biosafety Representative noted no specific biosafety concerns.</w:t>
      </w:r>
    </w:p>
    <w:p w14:paraId="1F439670" w14:textId="6664F99B" w:rsidR="00DB4AA3" w:rsidRDefault="00DB4AA3" w:rsidP="00DB4AA3">
      <w:r>
        <w:t>The Committee agreed all concerns had been addressed and recommended approval under the NIH</w:t>
      </w:r>
      <w:r>
        <w:t xml:space="preserve"> </w:t>
      </w:r>
      <w:r>
        <w:t>Guidelines with BSL-2 precautions.</w:t>
      </w:r>
    </w:p>
    <w:p w14:paraId="12FC4BEB" w14:textId="2A538026" w:rsidR="00DB4AA3" w:rsidRDefault="00DB4AA3" w:rsidP="00DB4AA3">
      <w:r>
        <w:t>Motion: The Committee found that the description of the agent, use, precautions, and risks are appropriately</w:t>
      </w:r>
      <w:r>
        <w:t xml:space="preserve"> </w:t>
      </w:r>
      <w:r>
        <w:t>described in the submitted documents including the consent</w:t>
      </w:r>
      <w:r>
        <w:t xml:space="preserve"> </w:t>
      </w:r>
      <w:r>
        <w:t>document(s). The Committee found that the</w:t>
      </w:r>
      <w:r>
        <w:t xml:space="preserve"> </w:t>
      </w:r>
      <w:r>
        <w:t>requirements for protocol submission, review, and reporting per Section III-C and section III-C-1 NIH</w:t>
      </w:r>
      <w:r>
        <w:t xml:space="preserve"> </w:t>
      </w:r>
      <w:r>
        <w:t>Guidelines for Research Involving Recombinant or Synthetic Nucleic Acid Molecules have been met.</w:t>
      </w:r>
    </w:p>
    <w:p w14:paraId="73F924E6" w14:textId="77777777" w:rsidR="00DB4AA3" w:rsidRDefault="00DB4AA3" w:rsidP="00DB4AA3">
      <w:r>
        <w:t>Approval was recommended.</w:t>
      </w:r>
    </w:p>
    <w:p w14:paraId="3809840A" w14:textId="77777777" w:rsidR="00DB4AA3" w:rsidRDefault="00DB4AA3" w:rsidP="00DB4AA3">
      <w:r>
        <w:t>Total votes for Approve: 9 (Total Members Voting: 9)</w:t>
      </w:r>
    </w:p>
    <w:p w14:paraId="601B5078" w14:textId="77777777" w:rsidR="00DB4AA3" w:rsidRDefault="00DB4AA3" w:rsidP="00DB4AA3">
      <w:r>
        <w:t>For: 9 Against: 0 Abstained: 0</w:t>
      </w:r>
    </w:p>
    <w:p w14:paraId="12EAE775" w14:textId="77777777" w:rsidR="00DB4AA3" w:rsidRDefault="00DB4AA3" w:rsidP="00DB4AA3">
      <w:r>
        <w:t>Abstained:</w:t>
      </w:r>
    </w:p>
    <w:p w14:paraId="58BE4181" w14:textId="77777777" w:rsidR="00DB4AA3" w:rsidRDefault="00DB4AA3" w:rsidP="00DB4AA3">
      <w:r>
        <w:lastRenderedPageBreak/>
        <w:t>Quorum Notes</w:t>
      </w:r>
    </w:p>
    <w:p w14:paraId="15E3CF14" w14:textId="77777777" w:rsidR="00DB4AA3" w:rsidRDefault="00DB4AA3" w:rsidP="00DB4AA3">
      <w:r>
        <w:t>Attachments</w:t>
      </w:r>
    </w:p>
    <w:p w14:paraId="1FA9ACFB" w14:textId="5F8BE43E" w:rsidR="00365E23" w:rsidRDefault="00DB4AA3" w:rsidP="00DB4AA3">
      <w:r>
        <w:t>Pharmacy Student Observation EI.pdf</w:t>
      </w:r>
    </w:p>
    <w:sectPr w:rsidR="00365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3"/>
    <w:rsid w:val="00192766"/>
    <w:rsid w:val="002403B9"/>
    <w:rsid w:val="00365E23"/>
    <w:rsid w:val="003D0DCC"/>
    <w:rsid w:val="004F4818"/>
    <w:rsid w:val="00782E7C"/>
    <w:rsid w:val="00807BC9"/>
    <w:rsid w:val="00C3716F"/>
    <w:rsid w:val="00C964AB"/>
    <w:rsid w:val="00DB4AA3"/>
    <w:rsid w:val="00F7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BEDC"/>
  <w15:chartTrackingRefBased/>
  <w15:docId w15:val="{2E56B89D-2F33-44A3-8854-2ED4457E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AA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5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DD7C-60FE-42FF-9D75-F38723CE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Tiffany</dc:creator>
  <cp:keywords/>
  <dc:description/>
  <cp:lastModifiedBy>Alexander, Tiffany</cp:lastModifiedBy>
  <cp:revision>10</cp:revision>
  <dcterms:created xsi:type="dcterms:W3CDTF">2026-05-26T17:09:00Z</dcterms:created>
  <dcterms:modified xsi:type="dcterms:W3CDTF">2026-05-26T17:11:00Z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2026-05-26T17:02:36Z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42c42ced-1ec8-4b59-9e9f-3296ae5d191a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